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Pr="007E0657" w:rsidRDefault="00A84AC4" w:rsidP="00A84AC4">
      <w:pPr>
        <w:keepNext/>
        <w:widowControl w:val="0"/>
        <w:jc w:val="both"/>
        <w:rPr>
          <w:b/>
          <w:sz w:val="22"/>
          <w:szCs w:val="22"/>
        </w:rPr>
      </w:pPr>
    </w:p>
    <w:p w:rsidR="00A84AC4" w:rsidRPr="007E0657" w:rsidRDefault="00A84AC4" w:rsidP="00A84AC4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14</w:t>
      </w:r>
      <w:r>
        <w:rPr>
          <w:b/>
          <w:sz w:val="22"/>
          <w:szCs w:val="22"/>
        </w:rPr>
        <w:t>/2015</w:t>
      </w:r>
      <w:r w:rsidRPr="007E0657">
        <w:rPr>
          <w:b/>
          <w:sz w:val="22"/>
          <w:szCs w:val="22"/>
        </w:rPr>
        <w:t>.(</w:t>
      </w:r>
      <w:r>
        <w:rPr>
          <w:b/>
          <w:sz w:val="22"/>
          <w:szCs w:val="22"/>
        </w:rPr>
        <w:t>V. 4.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A84AC4" w:rsidRPr="007E0657" w:rsidRDefault="00A84AC4" w:rsidP="00A84AC4">
      <w:pPr>
        <w:widowControl w:val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önkormányzat 2014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A84AC4" w:rsidRPr="007E0657" w:rsidRDefault="00A84AC4" w:rsidP="00A84AC4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5/2014. (II.14.) rendelet módosításáról</w:t>
      </w:r>
    </w:p>
    <w:p w:rsidR="00A84AC4" w:rsidRDefault="00A84AC4">
      <w:p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84AC4" w:rsidRPr="007E0657" w:rsidRDefault="00A84AC4" w:rsidP="00A84AC4">
      <w:pPr>
        <w:keepNext/>
        <w:widowControl w:val="0"/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A84AC4" w:rsidRPr="007E0657" w:rsidRDefault="00A84AC4" w:rsidP="00A84AC4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14</w:t>
      </w:r>
      <w:r>
        <w:rPr>
          <w:b/>
          <w:sz w:val="22"/>
          <w:szCs w:val="22"/>
        </w:rPr>
        <w:t>/2015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V. 4.) </w:t>
      </w:r>
      <w:r w:rsidRPr="007E0657">
        <w:rPr>
          <w:b/>
          <w:sz w:val="22"/>
          <w:szCs w:val="22"/>
        </w:rPr>
        <w:t>önkormányzati rendelete</w:t>
      </w:r>
    </w:p>
    <w:p w:rsidR="00A84AC4" w:rsidRPr="007E0657" w:rsidRDefault="00A84AC4" w:rsidP="00A84AC4">
      <w:pPr>
        <w:widowControl w:val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önkormányzat 2014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A84AC4" w:rsidRPr="007E0657" w:rsidRDefault="00A84AC4" w:rsidP="00A84AC4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5/2014. (II.14.) rendelet módosításáról</w:t>
      </w:r>
    </w:p>
    <w:p w:rsidR="00A84AC4" w:rsidRDefault="00A84AC4" w:rsidP="00A84AC4">
      <w:pPr>
        <w:widowControl w:val="0"/>
        <w:jc w:val="center"/>
        <w:rPr>
          <w:sz w:val="22"/>
          <w:szCs w:val="22"/>
        </w:rPr>
      </w:pPr>
    </w:p>
    <w:p w:rsidR="00A84AC4" w:rsidRPr="007E0657" w:rsidRDefault="00A84AC4" w:rsidP="00A84AC4">
      <w:pPr>
        <w:widowControl w:val="0"/>
        <w:jc w:val="center"/>
        <w:rPr>
          <w:sz w:val="22"/>
          <w:szCs w:val="22"/>
        </w:rPr>
      </w:pPr>
    </w:p>
    <w:p w:rsidR="00A84AC4" w:rsidRPr="002459A4" w:rsidRDefault="00A84AC4" w:rsidP="00A84AC4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 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>ében meghatározott eredeti jogalkotási hatáskörében és az Alaptörvény 32. cikk (1) bekezdés f) pontjában kapott feladatkörében eljárva</w:t>
      </w:r>
      <w:r w:rsidRPr="00DB4CA9">
        <w:rPr>
          <w:sz w:val="22"/>
          <w:szCs w:val="22"/>
        </w:rPr>
        <w:t>, az államháztartásról szóló 2011. évi CXCV. törvény 23. § (1)</w:t>
      </w:r>
      <w:r>
        <w:rPr>
          <w:sz w:val="22"/>
          <w:szCs w:val="22"/>
        </w:rPr>
        <w:t xml:space="preserve"> és (4)</w:t>
      </w:r>
      <w:r w:rsidRPr="00DB4CA9">
        <w:rPr>
          <w:sz w:val="22"/>
          <w:szCs w:val="22"/>
        </w:rPr>
        <w:t xml:space="preserve"> bekezdésében</w:t>
      </w:r>
      <w:r>
        <w:rPr>
          <w:sz w:val="22"/>
          <w:szCs w:val="22"/>
        </w:rPr>
        <w:t xml:space="preserve"> eljárva</w:t>
      </w:r>
      <w:r w:rsidRPr="00DB4CA9">
        <w:rPr>
          <w:sz w:val="22"/>
          <w:szCs w:val="22"/>
        </w:rPr>
        <w:t xml:space="preserve">, Polgár Város Önkormányzat </w:t>
      </w:r>
      <w:r>
        <w:rPr>
          <w:sz w:val="22"/>
          <w:szCs w:val="22"/>
        </w:rPr>
        <w:t xml:space="preserve">Képviselő-testületének az önkormányzat és szervei Szervezeti és Működési Szabályzatáról szóló 20/2014. (X.27.) önkormányzati rendelet 5. számú mellékletében biztosított véleményezési jogkörében eljáró Polgár Város Önkormányzatának Pénzügyi és gazdasági bizottsága, valamint Humán feladatok és ügyrendi bizottsága véleményének kikérésével </w:t>
      </w:r>
      <w:r w:rsidRPr="002459A4">
        <w:rPr>
          <w:sz w:val="22"/>
          <w:szCs w:val="22"/>
        </w:rPr>
        <w:t>az alábbi rendeletet alkotja:</w:t>
      </w:r>
    </w:p>
    <w:p w:rsidR="00A84AC4" w:rsidRDefault="00A84AC4" w:rsidP="00A84AC4">
      <w:pPr>
        <w:widowControl w:val="0"/>
        <w:rPr>
          <w:sz w:val="22"/>
          <w:szCs w:val="22"/>
        </w:rPr>
      </w:pPr>
    </w:p>
    <w:p w:rsidR="00A84AC4" w:rsidRPr="007E0657" w:rsidRDefault="00A84AC4" w:rsidP="00A84AC4">
      <w:pPr>
        <w:widowControl w:val="0"/>
        <w:rPr>
          <w:sz w:val="22"/>
          <w:szCs w:val="22"/>
        </w:rPr>
      </w:pPr>
    </w:p>
    <w:p w:rsidR="00A84AC4" w:rsidRPr="007E0657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Pr="00545A22" w:rsidRDefault="00A84AC4" w:rsidP="00A84AC4">
      <w:pPr>
        <w:widowControl w:val="0"/>
        <w:jc w:val="both"/>
        <w:rPr>
          <w:color w:val="0000FF"/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3. §</w:t>
      </w:r>
      <w:proofErr w:type="spellStart"/>
      <w:r>
        <w:rPr>
          <w:sz w:val="22"/>
          <w:szCs w:val="22"/>
        </w:rPr>
        <w:t>-</w:t>
      </w:r>
      <w:proofErr w:type="gramStart"/>
      <w:r>
        <w:rPr>
          <w:sz w:val="22"/>
          <w:szCs w:val="22"/>
        </w:rPr>
        <w:t>a</w:t>
      </w:r>
      <w:proofErr w:type="spellEnd"/>
      <w:proofErr w:type="gramEnd"/>
      <w:r>
        <w:rPr>
          <w:sz w:val="22"/>
          <w:szCs w:val="22"/>
        </w:rPr>
        <w:t xml:space="preserve"> az alábbiak szerint módosul: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2014</w:t>
      </w:r>
      <w:r w:rsidRPr="007E0657">
        <w:rPr>
          <w:sz w:val="22"/>
          <w:szCs w:val="22"/>
        </w:rPr>
        <w:t xml:space="preserve">.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főösszegét </w:t>
      </w:r>
      <w:r>
        <w:rPr>
          <w:sz w:val="22"/>
          <w:szCs w:val="22"/>
        </w:rPr>
        <w:t>2.466.929</w:t>
      </w:r>
      <w:r w:rsidRPr="001B3CC0">
        <w:rPr>
          <w:sz w:val="22"/>
          <w:szCs w:val="22"/>
        </w:rPr>
        <w:t xml:space="preserve"> </w:t>
      </w:r>
      <w:r w:rsidRPr="00201C54">
        <w:rPr>
          <w:sz w:val="22"/>
          <w:szCs w:val="22"/>
        </w:rPr>
        <w:t>e</w:t>
      </w:r>
      <w:r>
        <w:rPr>
          <w:sz w:val="22"/>
          <w:szCs w:val="22"/>
        </w:rPr>
        <w:t xml:space="preserve"> Ft-ban állapítja meg (1</w:t>
      </w:r>
      <w:r w:rsidRPr="007E0657">
        <w:rPr>
          <w:sz w:val="22"/>
          <w:szCs w:val="22"/>
        </w:rPr>
        <w:t xml:space="preserve">. sz. melléklet). Ebből az önkormányzat költségvetési támogatásának összege </w:t>
      </w:r>
      <w:r>
        <w:rPr>
          <w:sz w:val="22"/>
          <w:szCs w:val="22"/>
        </w:rPr>
        <w:t xml:space="preserve">605.477 e Ft. 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főösszeg forrásonkénti,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Pr="007E0657" w:rsidRDefault="00A84AC4" w:rsidP="00A84AC4">
      <w:pPr>
        <w:widowControl w:val="0"/>
        <w:jc w:val="center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4. §</w:t>
      </w:r>
      <w:proofErr w:type="spellStart"/>
      <w:r>
        <w:rPr>
          <w:sz w:val="22"/>
          <w:szCs w:val="22"/>
        </w:rPr>
        <w:t>-</w:t>
      </w:r>
      <w:proofErr w:type="gramStart"/>
      <w:r>
        <w:rPr>
          <w:sz w:val="22"/>
          <w:szCs w:val="22"/>
        </w:rPr>
        <w:t>a</w:t>
      </w:r>
      <w:proofErr w:type="spellEnd"/>
      <w:proofErr w:type="gramEnd"/>
      <w:r>
        <w:rPr>
          <w:sz w:val="22"/>
          <w:szCs w:val="22"/>
        </w:rPr>
        <w:t xml:space="preserve"> az alábbiak szerint módosul: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2014</w:t>
      </w:r>
      <w:r w:rsidRPr="007E0657">
        <w:rPr>
          <w:sz w:val="22"/>
          <w:szCs w:val="22"/>
        </w:rPr>
        <w:t xml:space="preserve">.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főösszegét </w:t>
      </w:r>
      <w:r>
        <w:rPr>
          <w:sz w:val="22"/>
          <w:szCs w:val="22"/>
        </w:rPr>
        <w:t>2.466.929</w:t>
      </w:r>
      <w:r w:rsidRPr="001B3CC0">
        <w:rPr>
          <w:sz w:val="22"/>
          <w:szCs w:val="22"/>
        </w:rPr>
        <w:t xml:space="preserve"> </w:t>
      </w:r>
      <w:r w:rsidRPr="00201C54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Ft-ban állapítja meg. (Az (1) bekezdésben megállapított kiadási főösszeg kiemelt előirányzatonként,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Pr="007E0657" w:rsidRDefault="00A84AC4" w:rsidP="00A84AC4">
      <w:pPr>
        <w:widowControl w:val="0"/>
        <w:jc w:val="both"/>
        <w:rPr>
          <w:b/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5. § (1) bekezdése helyébe az alábbi rendelkezés lép: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(1)</w:t>
      </w:r>
      <w:r w:rsidRPr="007E0657">
        <w:rPr>
          <w:sz w:val="22"/>
          <w:szCs w:val="22"/>
        </w:rPr>
        <w:tab/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2014</w:t>
      </w:r>
      <w:r w:rsidRPr="007E0657">
        <w:rPr>
          <w:sz w:val="22"/>
          <w:szCs w:val="22"/>
        </w:rPr>
        <w:t>. évi működési és fenntartási kiadási előirányzatait a képviselő-testület az alábbiak szerint szabályozza:</w:t>
      </w:r>
    </w:p>
    <w:p w:rsidR="00A84AC4" w:rsidRPr="007E0657" w:rsidRDefault="00A84AC4" w:rsidP="00A84AC4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5584"/>
        <w:gridCol w:w="3037"/>
      </w:tblGrid>
      <w:tr w:rsidR="00A84AC4" w:rsidRPr="00FC6B3A" w:rsidTr="00FB638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1.800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001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</w:tbl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5415"/>
        <w:gridCol w:w="3026"/>
      </w:tblGrid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955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szoc.hj.adó</w:t>
            </w:r>
            <w:proofErr w:type="spell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582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957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784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261455" w:rsidRDefault="00A84AC4" w:rsidP="00FB6380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84AC4" w:rsidRPr="00261455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261455" w:rsidRDefault="00A84AC4" w:rsidP="00FB6380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t>60.129 e Ft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163.723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</w:tbl>
    <w:p w:rsidR="00A84AC4" w:rsidRPr="007E0657" w:rsidRDefault="00A84AC4" w:rsidP="00A84AC4">
      <w:pPr>
        <w:widowControl w:val="0"/>
        <w:rPr>
          <w:color w:val="FF0000"/>
          <w:sz w:val="22"/>
          <w:szCs w:val="22"/>
        </w:rPr>
      </w:pPr>
    </w:p>
    <w:p w:rsidR="00A84AC4" w:rsidRPr="007E0657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Pr="007E0657" w:rsidRDefault="00A84AC4" w:rsidP="00A84AC4">
      <w:pPr>
        <w:widowControl w:val="0"/>
        <w:jc w:val="center"/>
        <w:rPr>
          <w:b/>
          <w:color w:val="FF0000"/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6. § (1), (3</w:t>
      </w:r>
      <w:proofErr w:type="gramStart"/>
      <w:r>
        <w:rPr>
          <w:sz w:val="22"/>
          <w:szCs w:val="22"/>
        </w:rPr>
        <w:t>)  bekezdése</w:t>
      </w:r>
      <w:proofErr w:type="gramEnd"/>
      <w:r>
        <w:rPr>
          <w:sz w:val="22"/>
          <w:szCs w:val="22"/>
        </w:rPr>
        <w:t xml:space="preserve"> helyébe az alábbi rendelkezés lép:</w:t>
      </w:r>
    </w:p>
    <w:p w:rsidR="00A84AC4" w:rsidRPr="00040285" w:rsidRDefault="00A84AC4" w:rsidP="00A84AC4">
      <w:pPr>
        <w:widowControl w:val="0"/>
        <w:jc w:val="both"/>
        <w:rPr>
          <w:color w:val="FF0000"/>
          <w:sz w:val="22"/>
          <w:szCs w:val="22"/>
        </w:rPr>
      </w:pPr>
    </w:p>
    <w:p w:rsidR="00A84AC4" w:rsidRPr="002741F5" w:rsidRDefault="00A84AC4" w:rsidP="00A84AC4">
      <w:pPr>
        <w:widowControl w:val="0"/>
        <w:ind w:right="-136"/>
        <w:jc w:val="both"/>
        <w:rPr>
          <w:sz w:val="22"/>
          <w:szCs w:val="22"/>
        </w:rPr>
      </w:pPr>
      <w:r w:rsidRPr="002741F5">
        <w:rPr>
          <w:sz w:val="22"/>
          <w:szCs w:val="22"/>
        </w:rPr>
        <w:t>(1)</w:t>
      </w:r>
      <w:r w:rsidRPr="002741F5">
        <w:rPr>
          <w:sz w:val="22"/>
          <w:szCs w:val="22"/>
        </w:rPr>
        <w:tab/>
        <w:t>Az önkormányzat összevont felújítási és felhalmozási kiadásainak összege</w:t>
      </w:r>
      <w:proofErr w:type="gramStart"/>
      <w:r w:rsidRPr="002741F5"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        170</w:t>
      </w:r>
      <w:r w:rsidRPr="002741F5"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>682</w:t>
      </w:r>
      <w:r w:rsidRPr="002741F5">
        <w:rPr>
          <w:sz w:val="22"/>
          <w:szCs w:val="22"/>
        </w:rPr>
        <w:t xml:space="preserve"> e Ft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Pr="002741F5">
        <w:rPr>
          <w:sz w:val="22"/>
          <w:szCs w:val="22"/>
        </w:rPr>
        <w:t xml:space="preserve">zen belül: 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5414"/>
        <w:gridCol w:w="3027"/>
      </w:tblGrid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155.654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3F0179">
              <w:t>- ebből tulajdoni részesedés vásárlása: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 w:rsidRPr="003F0179">
              <w:t>2.000 e Ft</w:t>
            </w:r>
            <w:r w:rsidRPr="00FC6B3A">
              <w:rPr>
                <w:sz w:val="22"/>
                <w:szCs w:val="22"/>
              </w:rPr>
              <w:t xml:space="preserve"> 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felújítások 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1.038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13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990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A84AC4" w:rsidRPr="00FC6B3A" w:rsidTr="00FB6380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A84AC4" w:rsidRPr="00FC6B3A" w:rsidRDefault="00A84AC4" w:rsidP="00FB6380">
            <w:pPr>
              <w:widowControl w:val="0"/>
              <w:rPr>
                <w:sz w:val="22"/>
                <w:szCs w:val="22"/>
              </w:rPr>
            </w:pPr>
            <w:r>
              <w:t xml:space="preserve">       8</w:t>
            </w:r>
            <w:r w:rsidRPr="003F0179">
              <w:t>.</w:t>
            </w:r>
            <w:r>
              <w:t>570</w:t>
            </w:r>
            <w:r w:rsidRPr="003F0179">
              <w:t xml:space="preserve"> e Ft</w:t>
            </w:r>
            <w:r>
              <w:t xml:space="preserve"> </w:t>
            </w:r>
          </w:p>
        </w:tc>
      </w:tr>
    </w:tbl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ind w:right="48"/>
        <w:jc w:val="both"/>
        <w:rPr>
          <w:sz w:val="22"/>
          <w:szCs w:val="22"/>
        </w:rPr>
      </w:pPr>
      <w:r>
        <w:rPr>
          <w:sz w:val="22"/>
          <w:szCs w:val="22"/>
        </w:rPr>
        <w:t>(2)</w:t>
      </w:r>
      <w:r>
        <w:rPr>
          <w:sz w:val="22"/>
          <w:szCs w:val="22"/>
        </w:rPr>
        <w:tab/>
        <w:t>Az önkormányzat egyéb – 4.§ (1) és 5.§ (1) bekezdésében megállapított előirányzatokba nem tartozó (hitelek, rövid lejáratú értékpapírok kiadási előirányzata, kölcsönnyújtás előirányzata) – kiadásainak előirányzata: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496.246 e Ft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Default="00A84AC4" w:rsidP="00A84AC4">
      <w:pPr>
        <w:widowControl w:val="0"/>
        <w:jc w:val="center"/>
        <w:rPr>
          <w:b/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7. § (2) bekezdése helyébe az alábbi rendelkezés lép: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Az önkormányzat összesített tartaléka: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4.708 e Ft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működési céltartalék: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25.909 e Ft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felhalmozási céltartalék: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29.512 e Ft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Pr="007E0657" w:rsidRDefault="00A84AC4" w:rsidP="00A84AC4">
      <w:pPr>
        <w:widowControl w:val="0"/>
        <w:ind w:left="360"/>
        <w:rPr>
          <w:b/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9. § (1) bekezdése helyébe az alábbi rendelkezés lép:</w:t>
      </w:r>
    </w:p>
    <w:p w:rsidR="00A84AC4" w:rsidRPr="007E0657" w:rsidRDefault="00A84AC4" w:rsidP="00A84AC4">
      <w:pPr>
        <w:widowControl w:val="0"/>
        <w:jc w:val="center"/>
        <w:rPr>
          <w:sz w:val="22"/>
          <w:szCs w:val="22"/>
        </w:rPr>
      </w:pPr>
    </w:p>
    <w:p w:rsidR="00A84AC4" w:rsidRPr="00CB3C18" w:rsidRDefault="00A84AC4" w:rsidP="00A84AC4">
      <w:pPr>
        <w:keepNext/>
        <w:widowControl w:val="0"/>
        <w:rPr>
          <w:sz w:val="22"/>
          <w:szCs w:val="22"/>
        </w:rPr>
      </w:pP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A84AC4" w:rsidRDefault="00A84AC4" w:rsidP="00A84AC4">
      <w:pPr>
        <w:widowControl w:val="0"/>
        <w:jc w:val="center"/>
        <w:rPr>
          <w:b/>
          <w:sz w:val="22"/>
          <w:szCs w:val="22"/>
        </w:rPr>
      </w:pP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60"/>
        <w:gridCol w:w="1620"/>
      </w:tblGrid>
      <w:tr w:rsidR="00A84AC4" w:rsidTr="00FB6380">
        <w:trPr>
          <w:trHeight w:val="70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1.738.686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1.800.001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- 61.315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288.732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170.682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+ 118.050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407.217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265.000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32.294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231.246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+ 56.735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- 61.315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+ 118.050 e Ft</w:t>
            </w:r>
          </w:p>
        </w:tc>
      </w:tr>
      <w:tr w:rsidR="00A84AC4" w:rsidTr="00FB6380">
        <w:trPr>
          <w:trHeight w:val="56"/>
        </w:trPr>
        <w:tc>
          <w:tcPr>
            <w:tcW w:w="54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A84AC4" w:rsidRDefault="00A84AC4" w:rsidP="00FB6380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84AC4" w:rsidRDefault="00A84AC4" w:rsidP="00FB6380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</w:tbl>
    <w:p w:rsidR="00A84AC4" w:rsidRDefault="00A84AC4" w:rsidP="00A84AC4">
      <w:pPr>
        <w:widowControl w:val="0"/>
        <w:jc w:val="center"/>
        <w:rPr>
          <w:b/>
          <w:sz w:val="22"/>
          <w:szCs w:val="22"/>
        </w:rPr>
      </w:pPr>
    </w:p>
    <w:p w:rsidR="00A84AC4" w:rsidRDefault="00A84AC4" w:rsidP="00A84AC4">
      <w:pPr>
        <w:widowControl w:val="0"/>
        <w:jc w:val="center"/>
        <w:rPr>
          <w:b/>
          <w:sz w:val="22"/>
          <w:szCs w:val="22"/>
        </w:rPr>
      </w:pPr>
    </w:p>
    <w:p w:rsidR="00A84AC4" w:rsidRDefault="00A84AC4" w:rsidP="00A84AC4">
      <w:pPr>
        <w:widowControl w:val="0"/>
        <w:jc w:val="center"/>
        <w:rPr>
          <w:b/>
          <w:sz w:val="22"/>
          <w:szCs w:val="22"/>
        </w:rPr>
      </w:pPr>
    </w:p>
    <w:p w:rsidR="00A84AC4" w:rsidRDefault="00A84AC4" w:rsidP="00A84AC4">
      <w:pPr>
        <w:widowControl w:val="0"/>
        <w:jc w:val="center"/>
        <w:rPr>
          <w:b/>
          <w:sz w:val="22"/>
          <w:szCs w:val="22"/>
        </w:rPr>
      </w:pPr>
      <w:r w:rsidRPr="000F4717">
        <w:rPr>
          <w:b/>
          <w:sz w:val="22"/>
          <w:szCs w:val="22"/>
        </w:rPr>
        <w:t>Záró rendelkezések</w:t>
      </w:r>
    </w:p>
    <w:p w:rsidR="00A84AC4" w:rsidRPr="000F4717" w:rsidRDefault="00A84AC4" w:rsidP="00A84AC4">
      <w:pPr>
        <w:widowControl w:val="0"/>
        <w:jc w:val="center"/>
        <w:rPr>
          <w:b/>
          <w:sz w:val="22"/>
          <w:szCs w:val="22"/>
        </w:rPr>
      </w:pPr>
    </w:p>
    <w:p w:rsidR="00A84AC4" w:rsidRPr="007E0657" w:rsidRDefault="00A84AC4" w:rsidP="00A84AC4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(1) A</w:t>
      </w:r>
      <w:r>
        <w:rPr>
          <w:sz w:val="22"/>
          <w:szCs w:val="22"/>
        </w:rPr>
        <w:t>z</w:t>
      </w:r>
      <w:r w:rsidRPr="007E0657">
        <w:rPr>
          <w:sz w:val="22"/>
          <w:szCs w:val="22"/>
        </w:rPr>
        <w:t xml:space="preserve"> </w:t>
      </w:r>
      <w:r>
        <w:rPr>
          <w:sz w:val="22"/>
          <w:szCs w:val="22"/>
        </w:rPr>
        <w:t>5/2014. (II.14.) önkormányzati rendelet 1, 2, 4</w:t>
      </w:r>
      <w:proofErr w:type="gramStart"/>
      <w:r>
        <w:rPr>
          <w:sz w:val="22"/>
          <w:szCs w:val="22"/>
        </w:rPr>
        <w:t>,  számú</w:t>
      </w:r>
      <w:proofErr w:type="gramEnd"/>
      <w:r>
        <w:rPr>
          <w:sz w:val="22"/>
          <w:szCs w:val="22"/>
        </w:rPr>
        <w:t xml:space="preserve"> mellékletei helyébe e rendelet 1, 2, 3. sz. mellékletei lépnek. 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 rendelet 2015. május </w:t>
      </w:r>
      <w:r>
        <w:rPr>
          <w:sz w:val="22"/>
          <w:szCs w:val="22"/>
        </w:rPr>
        <w:t xml:space="preserve">4.-én lép hatályba. 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ind w:left="1440" w:hanging="1440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</w:t>
      </w:r>
      <w:proofErr w:type="gramStart"/>
      <w:r w:rsidRPr="007E0657">
        <w:rPr>
          <w:sz w:val="22"/>
          <w:szCs w:val="22"/>
        </w:rPr>
        <w:t>,</w:t>
      </w:r>
      <w:r>
        <w:rPr>
          <w:sz w:val="22"/>
          <w:szCs w:val="22"/>
        </w:rPr>
        <w:t xml:space="preserve"> 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15.</w:t>
      </w:r>
      <w:proofErr w:type="gramEnd"/>
      <w:r>
        <w:rPr>
          <w:sz w:val="22"/>
          <w:szCs w:val="22"/>
        </w:rPr>
        <w:t xml:space="preserve"> április 30.</w:t>
      </w:r>
      <w:r w:rsidRPr="007E0657">
        <w:rPr>
          <w:sz w:val="22"/>
          <w:szCs w:val="22"/>
        </w:rPr>
        <w:t xml:space="preserve"> </w:t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A84AC4" w:rsidRDefault="00A84AC4" w:rsidP="00A84AC4">
      <w:pPr>
        <w:widowControl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A84AC4">
        <w:rPr>
          <w:b/>
          <w:sz w:val="22"/>
          <w:szCs w:val="22"/>
        </w:rPr>
        <w:t xml:space="preserve">Tóth József </w:t>
      </w:r>
      <w:r w:rsidRPr="00A84AC4">
        <w:rPr>
          <w:b/>
          <w:sz w:val="22"/>
          <w:szCs w:val="22"/>
        </w:rPr>
        <w:tab/>
      </w:r>
      <w:r w:rsidRPr="00A84AC4">
        <w:rPr>
          <w:b/>
          <w:sz w:val="22"/>
          <w:szCs w:val="22"/>
        </w:rPr>
        <w:tab/>
      </w:r>
      <w:r w:rsidRPr="00A84AC4">
        <w:rPr>
          <w:b/>
          <w:sz w:val="22"/>
          <w:szCs w:val="22"/>
        </w:rPr>
        <w:tab/>
      </w:r>
      <w:r w:rsidRPr="00A84AC4">
        <w:rPr>
          <w:b/>
          <w:sz w:val="22"/>
          <w:szCs w:val="22"/>
        </w:rPr>
        <w:tab/>
      </w:r>
      <w:r w:rsidRPr="00A84AC4">
        <w:rPr>
          <w:b/>
          <w:sz w:val="22"/>
          <w:szCs w:val="22"/>
        </w:rPr>
        <w:tab/>
      </w:r>
      <w:r w:rsidRPr="00A84AC4">
        <w:rPr>
          <w:b/>
          <w:sz w:val="22"/>
          <w:szCs w:val="22"/>
        </w:rPr>
        <w:tab/>
        <w:t>d</w:t>
      </w:r>
      <w:r w:rsidRPr="00A84AC4">
        <w:rPr>
          <w:b/>
          <w:sz w:val="22"/>
          <w:szCs w:val="22"/>
        </w:rPr>
        <w:t>r.</w:t>
      </w:r>
      <w:r w:rsidRPr="00A84AC4">
        <w:rPr>
          <w:b/>
          <w:sz w:val="22"/>
          <w:szCs w:val="22"/>
        </w:rPr>
        <w:t xml:space="preserve"> </w:t>
      </w:r>
      <w:r w:rsidRPr="00A84AC4">
        <w:rPr>
          <w:b/>
          <w:sz w:val="22"/>
          <w:szCs w:val="22"/>
        </w:rPr>
        <w:t>Váliné Antal Mária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7E0657">
        <w:rPr>
          <w:sz w:val="22"/>
          <w:szCs w:val="22"/>
        </w:rPr>
        <w:t>polgármester</w:t>
      </w:r>
      <w:proofErr w:type="gramEnd"/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E rendelet kihirdetése </w:t>
      </w:r>
      <w:r>
        <w:rPr>
          <w:sz w:val="22"/>
          <w:szCs w:val="22"/>
        </w:rPr>
        <w:t>megtörtént</w:t>
      </w:r>
    </w:p>
    <w:p w:rsidR="00A84AC4" w:rsidRPr="007E0657" w:rsidRDefault="00A84AC4" w:rsidP="00A84AC4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2015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május 4-én</w:t>
      </w:r>
      <w:r>
        <w:rPr>
          <w:sz w:val="22"/>
          <w:szCs w:val="22"/>
        </w:rPr>
        <w:t>.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Default="00A84AC4" w:rsidP="00A84AC4">
      <w:pPr>
        <w:widowControl w:val="0"/>
        <w:jc w:val="both"/>
        <w:rPr>
          <w:sz w:val="22"/>
          <w:szCs w:val="22"/>
        </w:rPr>
      </w:pPr>
    </w:p>
    <w:p w:rsidR="00A84AC4" w:rsidRPr="00A84AC4" w:rsidRDefault="00A84AC4" w:rsidP="00A84AC4">
      <w:pPr>
        <w:widowControl w:val="0"/>
        <w:ind w:left="4944" w:firstLine="720"/>
        <w:jc w:val="both"/>
        <w:rPr>
          <w:b/>
          <w:sz w:val="22"/>
          <w:szCs w:val="22"/>
        </w:rPr>
      </w:pPr>
      <w:proofErr w:type="gramStart"/>
      <w:r w:rsidRPr="00A84AC4">
        <w:rPr>
          <w:b/>
          <w:sz w:val="22"/>
          <w:szCs w:val="22"/>
        </w:rPr>
        <w:t>d</w:t>
      </w:r>
      <w:r w:rsidRPr="00A84AC4">
        <w:rPr>
          <w:b/>
          <w:sz w:val="22"/>
          <w:szCs w:val="22"/>
        </w:rPr>
        <w:t>r.</w:t>
      </w:r>
      <w:proofErr w:type="gramEnd"/>
      <w:r w:rsidRPr="00A84AC4">
        <w:rPr>
          <w:b/>
          <w:sz w:val="22"/>
          <w:szCs w:val="22"/>
        </w:rPr>
        <w:t xml:space="preserve"> Váliné Antal Mária </w:t>
      </w:r>
    </w:p>
    <w:p w:rsidR="00A84AC4" w:rsidRPr="007E0657" w:rsidRDefault="00A84AC4" w:rsidP="00A84AC4">
      <w:pPr>
        <w:widowControl w:val="0"/>
        <w:jc w:val="both"/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</w:t>
      </w:r>
      <w:proofErr w:type="gramStart"/>
      <w:r w:rsidRPr="007E0657">
        <w:rPr>
          <w:sz w:val="22"/>
          <w:szCs w:val="22"/>
        </w:rPr>
        <w:t>címzetes</w:t>
      </w:r>
      <w:proofErr w:type="gramEnd"/>
      <w:r w:rsidRPr="007E0657">
        <w:rPr>
          <w:sz w:val="22"/>
          <w:szCs w:val="22"/>
        </w:rPr>
        <w:t xml:space="preserve"> főjegyző</w:t>
      </w:r>
      <w:r>
        <w:rPr>
          <w:sz w:val="22"/>
          <w:szCs w:val="22"/>
        </w:rPr>
        <w:tab/>
      </w:r>
    </w:p>
    <w:p w:rsidR="00000B8C" w:rsidRDefault="00000B8C">
      <w:bookmarkStart w:id="0" w:name="_GoBack"/>
      <w:bookmarkEnd w:id="0"/>
    </w:p>
    <w:sectPr w:rsidR="00000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C4"/>
    <w:rsid w:val="00000B8C"/>
    <w:rsid w:val="00A8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DF02E-A05F-4674-9A8E-3275291E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4AC4"/>
    <w:pPr>
      <w:jc w:val="right"/>
    </w:pPr>
    <w:rPr>
      <w:rFonts w:eastAsia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84AC4"/>
    <w:pPr>
      <w:jc w:val="both"/>
    </w:pPr>
    <w:rPr>
      <w:snapToGrid w:val="0"/>
      <w:sz w:val="24"/>
    </w:rPr>
  </w:style>
  <w:style w:type="character" w:customStyle="1" w:styleId="SzvegtrzsChar">
    <w:name w:val="Szövegtörzs Char"/>
    <w:basedOn w:val="Bekezdsalapbettpusa"/>
    <w:link w:val="Szvegtrzs"/>
    <w:rsid w:val="00A84AC4"/>
    <w:rPr>
      <w:rFonts w:eastAsia="Times New Roman"/>
      <w:snapToGrid w:val="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1</cp:revision>
  <dcterms:created xsi:type="dcterms:W3CDTF">2015-05-04T06:57:00Z</dcterms:created>
  <dcterms:modified xsi:type="dcterms:W3CDTF">2015-05-04T07:00:00Z</dcterms:modified>
</cp:coreProperties>
</file>