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FF675" w14:textId="77777777" w:rsidR="00EA3E5B" w:rsidRPr="00262F5B" w:rsidRDefault="00EA3E5B" w:rsidP="00D67EB7">
      <w:pPr>
        <w:jc w:val="both"/>
        <w:rPr>
          <w:sz w:val="22"/>
          <w:szCs w:val="22"/>
        </w:rPr>
      </w:pPr>
    </w:p>
    <w:p w14:paraId="1F3E94BD" w14:textId="77777777" w:rsidR="00EA3E5B" w:rsidRPr="00262F5B" w:rsidRDefault="00EA3E5B" w:rsidP="00576E17">
      <w:pPr>
        <w:pStyle w:val="Cm"/>
        <w:rPr>
          <w:smallCaps/>
          <w:szCs w:val="22"/>
        </w:rPr>
      </w:pPr>
      <w:r w:rsidRPr="00262F5B">
        <w:rPr>
          <w:smallCaps/>
          <w:szCs w:val="22"/>
        </w:rPr>
        <w:t>ELŐTERJESZTÉS</w:t>
      </w:r>
    </w:p>
    <w:p w14:paraId="3EDCCCE9" w14:textId="3DD5C761" w:rsidR="00EA3E5B" w:rsidRDefault="00EA3E5B" w:rsidP="00576E17">
      <w:pPr>
        <w:widowControl w:val="0"/>
        <w:jc w:val="center"/>
        <w:rPr>
          <w:b/>
          <w:snapToGrid w:val="0"/>
          <w:sz w:val="22"/>
          <w:szCs w:val="22"/>
        </w:rPr>
      </w:pPr>
      <w:r w:rsidRPr="00262F5B">
        <w:rPr>
          <w:b/>
          <w:snapToGrid w:val="0"/>
          <w:sz w:val="22"/>
          <w:szCs w:val="22"/>
        </w:rPr>
        <w:t xml:space="preserve">a </w:t>
      </w:r>
      <w:proofErr w:type="gramStart"/>
      <w:r w:rsidR="00371075">
        <w:rPr>
          <w:b/>
          <w:snapToGrid w:val="0"/>
          <w:sz w:val="22"/>
          <w:szCs w:val="22"/>
        </w:rPr>
        <w:t xml:space="preserve">polgármester </w:t>
      </w:r>
      <w:r w:rsidR="004379DB" w:rsidRPr="00262F5B">
        <w:rPr>
          <w:b/>
          <w:snapToGrid w:val="0"/>
          <w:sz w:val="22"/>
          <w:szCs w:val="22"/>
        </w:rPr>
        <w:t xml:space="preserve"> </w:t>
      </w:r>
      <w:r w:rsidR="00371075">
        <w:rPr>
          <w:b/>
          <w:snapToGrid w:val="0"/>
          <w:sz w:val="22"/>
          <w:szCs w:val="22"/>
        </w:rPr>
        <w:t>2021.</w:t>
      </w:r>
      <w:proofErr w:type="gramEnd"/>
      <w:r w:rsidR="00371075">
        <w:rPr>
          <w:b/>
          <w:snapToGrid w:val="0"/>
          <w:sz w:val="22"/>
          <w:szCs w:val="22"/>
        </w:rPr>
        <w:t xml:space="preserve"> május 27.-</w:t>
      </w:r>
      <w:r w:rsidR="00EC474E">
        <w:rPr>
          <w:b/>
          <w:snapToGrid w:val="0"/>
          <w:sz w:val="22"/>
          <w:szCs w:val="22"/>
        </w:rPr>
        <w:t>é</w:t>
      </w:r>
      <w:r w:rsidR="00CE5FF6" w:rsidRPr="00262F5B">
        <w:rPr>
          <w:b/>
          <w:snapToGrid w:val="0"/>
          <w:sz w:val="22"/>
          <w:szCs w:val="22"/>
        </w:rPr>
        <w:t>n</w:t>
      </w:r>
      <w:r w:rsidRPr="00262F5B">
        <w:rPr>
          <w:b/>
          <w:snapToGrid w:val="0"/>
          <w:sz w:val="22"/>
          <w:szCs w:val="22"/>
        </w:rPr>
        <w:t xml:space="preserve"> </w:t>
      </w:r>
      <w:r w:rsidR="00371075">
        <w:rPr>
          <w:b/>
          <w:snapToGrid w:val="0"/>
          <w:sz w:val="22"/>
          <w:szCs w:val="22"/>
        </w:rPr>
        <w:t>meghozandó döntéséhez</w:t>
      </w:r>
    </w:p>
    <w:p w14:paraId="4D4EB7D1" w14:textId="77777777" w:rsidR="001759BC" w:rsidRPr="00262F5B" w:rsidRDefault="001759BC" w:rsidP="00576E17">
      <w:pPr>
        <w:widowControl w:val="0"/>
        <w:jc w:val="center"/>
        <w:rPr>
          <w:b/>
          <w:snapToGrid w:val="0"/>
          <w:sz w:val="22"/>
          <w:szCs w:val="22"/>
        </w:rPr>
      </w:pPr>
    </w:p>
    <w:p w14:paraId="37ADE49B" w14:textId="77777777" w:rsidR="00EA3E5B" w:rsidRPr="00262F5B" w:rsidRDefault="00EA3E5B" w:rsidP="00D67EB7">
      <w:pPr>
        <w:widowControl w:val="0"/>
        <w:jc w:val="both"/>
        <w:rPr>
          <w:snapToGrid w:val="0"/>
          <w:sz w:val="22"/>
          <w:szCs w:val="22"/>
        </w:rPr>
      </w:pPr>
      <w:r w:rsidRPr="00262F5B">
        <w:rPr>
          <w:snapToGrid w:val="0"/>
          <w:sz w:val="22"/>
          <w:szCs w:val="22"/>
        </w:rPr>
        <w:t>Tárgy:</w:t>
      </w:r>
      <w:r w:rsidRPr="00262F5B">
        <w:rPr>
          <w:snapToGrid w:val="0"/>
          <w:sz w:val="22"/>
          <w:szCs w:val="22"/>
        </w:rPr>
        <w:tab/>
      </w:r>
      <w:r w:rsidRPr="00262F5B">
        <w:rPr>
          <w:snapToGrid w:val="0"/>
          <w:sz w:val="22"/>
          <w:szCs w:val="22"/>
        </w:rPr>
        <w:tab/>
        <w:t>Beszámoló</w:t>
      </w:r>
      <w:r w:rsidR="00B65EBA" w:rsidRPr="00262F5B">
        <w:rPr>
          <w:snapToGrid w:val="0"/>
          <w:sz w:val="22"/>
          <w:szCs w:val="22"/>
        </w:rPr>
        <w:t xml:space="preserve"> Polgár Város Önkormányzata 20</w:t>
      </w:r>
      <w:r w:rsidR="00E41457">
        <w:rPr>
          <w:snapToGrid w:val="0"/>
          <w:sz w:val="22"/>
          <w:szCs w:val="22"/>
        </w:rPr>
        <w:t>20</w:t>
      </w:r>
      <w:r w:rsidRPr="00262F5B">
        <w:rPr>
          <w:snapToGrid w:val="0"/>
          <w:sz w:val="22"/>
          <w:szCs w:val="22"/>
        </w:rPr>
        <w:t>. évi költségvetésének teljesítéséről</w:t>
      </w:r>
    </w:p>
    <w:p w14:paraId="2527DF9C" w14:textId="77777777" w:rsidR="00EA3E5B" w:rsidRPr="00262F5B" w:rsidRDefault="008F4953" w:rsidP="00D67EB7">
      <w:pPr>
        <w:widowControl w:val="0"/>
        <w:jc w:val="both"/>
        <w:rPr>
          <w:snapToGrid w:val="0"/>
          <w:sz w:val="22"/>
          <w:szCs w:val="22"/>
        </w:rPr>
      </w:pPr>
      <w:proofErr w:type="gramStart"/>
      <w:r w:rsidRPr="00262F5B">
        <w:rPr>
          <w:snapToGrid w:val="0"/>
          <w:sz w:val="22"/>
          <w:szCs w:val="22"/>
        </w:rPr>
        <w:t>Előterjesztő :</w:t>
      </w:r>
      <w:proofErr w:type="gramEnd"/>
      <w:r w:rsidRPr="00262F5B">
        <w:rPr>
          <w:snapToGrid w:val="0"/>
          <w:sz w:val="22"/>
          <w:szCs w:val="22"/>
        </w:rPr>
        <w:tab/>
      </w:r>
      <w:r w:rsidR="00371075" w:rsidRPr="00262F5B">
        <w:rPr>
          <w:snapToGrid w:val="0"/>
          <w:sz w:val="22"/>
          <w:szCs w:val="22"/>
        </w:rPr>
        <w:t xml:space="preserve">Dr. </w:t>
      </w:r>
      <w:r w:rsidR="00371075">
        <w:rPr>
          <w:snapToGrid w:val="0"/>
          <w:sz w:val="22"/>
          <w:szCs w:val="22"/>
        </w:rPr>
        <w:t>Sivák Anita</w:t>
      </w:r>
      <w:r w:rsidR="00371075" w:rsidRPr="00262F5B">
        <w:rPr>
          <w:snapToGrid w:val="0"/>
          <w:sz w:val="22"/>
          <w:szCs w:val="22"/>
        </w:rPr>
        <w:t xml:space="preserve"> jegyző</w:t>
      </w:r>
    </w:p>
    <w:p w14:paraId="05BA1A39" w14:textId="77777777" w:rsidR="00EA3E5B" w:rsidRPr="00262F5B" w:rsidRDefault="00EA3E5B" w:rsidP="00371075">
      <w:pPr>
        <w:widowControl w:val="0"/>
        <w:jc w:val="both"/>
        <w:rPr>
          <w:snapToGrid w:val="0"/>
          <w:sz w:val="22"/>
          <w:szCs w:val="22"/>
        </w:rPr>
      </w:pPr>
      <w:proofErr w:type="gramStart"/>
      <w:r w:rsidRPr="00262F5B">
        <w:rPr>
          <w:snapToGrid w:val="0"/>
          <w:sz w:val="22"/>
          <w:szCs w:val="22"/>
        </w:rPr>
        <w:t xml:space="preserve">Készítette:   </w:t>
      </w:r>
      <w:proofErr w:type="gramEnd"/>
      <w:r w:rsidR="00371075">
        <w:rPr>
          <w:snapToGrid w:val="0"/>
          <w:sz w:val="22"/>
          <w:szCs w:val="22"/>
        </w:rPr>
        <w:tab/>
      </w:r>
      <w:r w:rsidRPr="00262F5B">
        <w:rPr>
          <w:snapToGrid w:val="0"/>
          <w:sz w:val="22"/>
          <w:szCs w:val="22"/>
        </w:rPr>
        <w:t>Csépányiné Bartók Margit irodavezető</w:t>
      </w:r>
    </w:p>
    <w:p w14:paraId="4F8CB92C" w14:textId="77777777" w:rsidR="00EA3E5B" w:rsidRPr="00262F5B" w:rsidRDefault="00EA3E5B" w:rsidP="00D67EB7">
      <w:pPr>
        <w:widowControl w:val="0"/>
        <w:jc w:val="both"/>
        <w:rPr>
          <w:snapToGrid w:val="0"/>
          <w:sz w:val="22"/>
          <w:szCs w:val="22"/>
        </w:rPr>
      </w:pPr>
      <w:r w:rsidRPr="00262F5B">
        <w:rPr>
          <w:snapToGrid w:val="0"/>
          <w:sz w:val="22"/>
          <w:szCs w:val="22"/>
        </w:rPr>
        <w:tab/>
        <w:t xml:space="preserve">         </w:t>
      </w:r>
      <w:r w:rsidRPr="00262F5B">
        <w:rPr>
          <w:snapToGrid w:val="0"/>
          <w:sz w:val="22"/>
          <w:szCs w:val="22"/>
        </w:rPr>
        <w:tab/>
        <w:t xml:space="preserve">Léka Gyuláné </w:t>
      </w:r>
      <w:r w:rsidR="00A15C47">
        <w:rPr>
          <w:snapToGrid w:val="0"/>
          <w:sz w:val="22"/>
          <w:szCs w:val="22"/>
        </w:rPr>
        <w:t>vezető főtanácsos</w:t>
      </w:r>
    </w:p>
    <w:p w14:paraId="64A8BD3A" w14:textId="77777777" w:rsidR="00EA3E5B" w:rsidRPr="00262F5B" w:rsidRDefault="008F4953" w:rsidP="00D67EB7">
      <w:pPr>
        <w:widowControl w:val="0"/>
        <w:jc w:val="both"/>
        <w:rPr>
          <w:snapToGrid w:val="0"/>
          <w:sz w:val="22"/>
          <w:szCs w:val="22"/>
        </w:rPr>
      </w:pPr>
      <w:proofErr w:type="spellStart"/>
      <w:r w:rsidRPr="00262F5B">
        <w:rPr>
          <w:snapToGrid w:val="0"/>
          <w:sz w:val="22"/>
          <w:szCs w:val="22"/>
        </w:rPr>
        <w:t>Ikt</w:t>
      </w:r>
      <w:proofErr w:type="spellEnd"/>
      <w:r w:rsidRPr="00262F5B">
        <w:rPr>
          <w:snapToGrid w:val="0"/>
          <w:sz w:val="22"/>
          <w:szCs w:val="22"/>
        </w:rPr>
        <w:t xml:space="preserve">. </w:t>
      </w:r>
      <w:proofErr w:type="gramStart"/>
      <w:r w:rsidRPr="00262F5B">
        <w:rPr>
          <w:snapToGrid w:val="0"/>
          <w:sz w:val="22"/>
          <w:szCs w:val="22"/>
        </w:rPr>
        <w:t xml:space="preserve">szám:  </w:t>
      </w:r>
      <w:r w:rsidRPr="00262F5B">
        <w:rPr>
          <w:snapToGrid w:val="0"/>
          <w:sz w:val="22"/>
          <w:szCs w:val="22"/>
        </w:rPr>
        <w:tab/>
      </w:r>
      <w:proofErr w:type="gramEnd"/>
      <w:r w:rsidR="00A16FE5" w:rsidRPr="00262F5B">
        <w:rPr>
          <w:snapToGrid w:val="0"/>
          <w:sz w:val="22"/>
          <w:szCs w:val="22"/>
        </w:rPr>
        <w:t>I/</w:t>
      </w:r>
      <w:r w:rsidR="00374C4F">
        <w:rPr>
          <w:snapToGrid w:val="0"/>
          <w:sz w:val="22"/>
          <w:szCs w:val="22"/>
        </w:rPr>
        <w:t xml:space="preserve"> </w:t>
      </w:r>
      <w:r w:rsidR="00371075">
        <w:rPr>
          <w:snapToGrid w:val="0"/>
          <w:sz w:val="22"/>
          <w:szCs w:val="22"/>
        </w:rPr>
        <w:t xml:space="preserve">5891-6 </w:t>
      </w:r>
      <w:r w:rsidR="00B65EBA" w:rsidRPr="00262F5B">
        <w:rPr>
          <w:snapToGrid w:val="0"/>
          <w:sz w:val="22"/>
          <w:szCs w:val="22"/>
        </w:rPr>
        <w:t>/20</w:t>
      </w:r>
      <w:r w:rsidR="00374C4F">
        <w:rPr>
          <w:snapToGrid w:val="0"/>
          <w:sz w:val="22"/>
          <w:szCs w:val="22"/>
        </w:rPr>
        <w:t>2</w:t>
      </w:r>
      <w:r w:rsidR="00371075">
        <w:rPr>
          <w:snapToGrid w:val="0"/>
          <w:sz w:val="22"/>
          <w:szCs w:val="22"/>
        </w:rPr>
        <w:t>1</w:t>
      </w:r>
      <w:r w:rsidR="00EA3E5B" w:rsidRPr="00262F5B">
        <w:rPr>
          <w:snapToGrid w:val="0"/>
          <w:sz w:val="22"/>
          <w:szCs w:val="22"/>
        </w:rPr>
        <w:t>.</w:t>
      </w:r>
    </w:p>
    <w:p w14:paraId="387037A8" w14:textId="77777777" w:rsidR="00EA3E5B" w:rsidRPr="00262F5B" w:rsidRDefault="00B65EBA" w:rsidP="00D67EB7">
      <w:pPr>
        <w:widowControl w:val="0"/>
        <w:jc w:val="both"/>
        <w:rPr>
          <w:snapToGrid w:val="0"/>
          <w:sz w:val="22"/>
          <w:szCs w:val="22"/>
        </w:rPr>
      </w:pPr>
      <w:r w:rsidRPr="00262F5B">
        <w:rPr>
          <w:snapToGrid w:val="0"/>
          <w:sz w:val="22"/>
          <w:szCs w:val="22"/>
        </w:rPr>
        <w:t>Melléklet:</w:t>
      </w:r>
      <w:r w:rsidRPr="00262F5B">
        <w:rPr>
          <w:snapToGrid w:val="0"/>
          <w:sz w:val="22"/>
          <w:szCs w:val="22"/>
        </w:rPr>
        <w:tab/>
        <w:t>20</w:t>
      </w:r>
      <w:r w:rsidR="00371075">
        <w:rPr>
          <w:snapToGrid w:val="0"/>
          <w:sz w:val="22"/>
          <w:szCs w:val="22"/>
        </w:rPr>
        <w:t>20</w:t>
      </w:r>
      <w:r w:rsidR="00EA3E5B" w:rsidRPr="00262F5B">
        <w:rPr>
          <w:snapToGrid w:val="0"/>
          <w:sz w:val="22"/>
          <w:szCs w:val="22"/>
        </w:rPr>
        <w:t>. évi zá</w:t>
      </w:r>
      <w:r w:rsidR="00DA01B6" w:rsidRPr="00262F5B">
        <w:rPr>
          <w:snapToGrid w:val="0"/>
          <w:sz w:val="22"/>
          <w:szCs w:val="22"/>
        </w:rPr>
        <w:t>rszámadási rendelet és melléklet</w:t>
      </w:r>
      <w:r w:rsidR="006A5B35" w:rsidRPr="00262F5B">
        <w:rPr>
          <w:snapToGrid w:val="0"/>
          <w:sz w:val="22"/>
          <w:szCs w:val="22"/>
        </w:rPr>
        <w:t>ei</w:t>
      </w:r>
    </w:p>
    <w:p w14:paraId="4413FCDA" w14:textId="77777777" w:rsidR="00EA3E5B" w:rsidRPr="00262F5B" w:rsidRDefault="00EA3E5B" w:rsidP="00D67EB7">
      <w:pPr>
        <w:widowControl w:val="0"/>
        <w:jc w:val="both"/>
        <w:rPr>
          <w:snapToGrid w:val="0"/>
          <w:sz w:val="22"/>
          <w:szCs w:val="22"/>
        </w:rPr>
      </w:pPr>
    </w:p>
    <w:p w14:paraId="4DD80259" w14:textId="6E085C44" w:rsidR="00EA3E5B" w:rsidRPr="00262F5B" w:rsidRDefault="00EA3E5B" w:rsidP="00D67EB7">
      <w:pPr>
        <w:widowControl w:val="0"/>
        <w:jc w:val="both"/>
        <w:rPr>
          <w:snapToGrid w:val="0"/>
          <w:sz w:val="22"/>
          <w:szCs w:val="22"/>
        </w:rPr>
      </w:pPr>
      <w:r w:rsidRPr="00262F5B">
        <w:rPr>
          <w:snapToGrid w:val="0"/>
          <w:sz w:val="22"/>
          <w:szCs w:val="22"/>
        </w:rPr>
        <w:t xml:space="preserve">Tisztelt </w:t>
      </w:r>
      <w:r w:rsidR="00EE0E06">
        <w:rPr>
          <w:snapToGrid w:val="0"/>
          <w:sz w:val="22"/>
          <w:szCs w:val="22"/>
        </w:rPr>
        <w:t>Polgármester Úr</w:t>
      </w:r>
      <w:r w:rsidRPr="00262F5B">
        <w:rPr>
          <w:snapToGrid w:val="0"/>
          <w:sz w:val="22"/>
          <w:szCs w:val="22"/>
        </w:rPr>
        <w:t>!</w:t>
      </w:r>
    </w:p>
    <w:p w14:paraId="72DEF149" w14:textId="77777777" w:rsidR="005B792E" w:rsidRDefault="005B792E" w:rsidP="005B792E">
      <w:pPr>
        <w:jc w:val="both"/>
        <w:rPr>
          <w:sz w:val="22"/>
          <w:szCs w:val="22"/>
        </w:rPr>
      </w:pPr>
    </w:p>
    <w:p w14:paraId="6DDB7F5E" w14:textId="77777777" w:rsidR="005B792E" w:rsidRPr="00513692" w:rsidRDefault="005B792E" w:rsidP="005B792E">
      <w:pPr>
        <w:jc w:val="both"/>
        <w:rPr>
          <w:sz w:val="22"/>
          <w:szCs w:val="22"/>
        </w:rPr>
      </w:pPr>
      <w:r w:rsidRPr="00513692">
        <w:rPr>
          <w:sz w:val="22"/>
          <w:szCs w:val="22"/>
        </w:rPr>
        <w:t>Az önkormányzat gazdálkodásának jogi keretei az Államháztartásról szóló 2011. évi CXCV. törvény, a Magyarország 20</w:t>
      </w:r>
      <w:r w:rsidR="00371075" w:rsidRPr="00513692">
        <w:rPr>
          <w:sz w:val="22"/>
          <w:szCs w:val="22"/>
        </w:rPr>
        <w:t>20</w:t>
      </w:r>
      <w:r w:rsidRPr="00513692">
        <w:rPr>
          <w:sz w:val="22"/>
          <w:szCs w:val="22"/>
        </w:rPr>
        <w:t>. évi központi költségvetéséről szóló 201</w:t>
      </w:r>
      <w:r w:rsidR="00371075" w:rsidRPr="00513692">
        <w:rPr>
          <w:sz w:val="22"/>
          <w:szCs w:val="22"/>
        </w:rPr>
        <w:t>9</w:t>
      </w:r>
      <w:r w:rsidRPr="00513692">
        <w:rPr>
          <w:sz w:val="22"/>
          <w:szCs w:val="22"/>
        </w:rPr>
        <w:t xml:space="preserve">. évi </w:t>
      </w:r>
      <w:proofErr w:type="gramStart"/>
      <w:r w:rsidRPr="00513692">
        <w:rPr>
          <w:sz w:val="22"/>
          <w:szCs w:val="22"/>
        </w:rPr>
        <w:t>L.törvén</w:t>
      </w:r>
      <w:bookmarkStart w:id="0" w:name="pr2"/>
      <w:bookmarkEnd w:id="0"/>
      <w:r w:rsidRPr="00513692">
        <w:rPr>
          <w:sz w:val="22"/>
          <w:szCs w:val="22"/>
        </w:rPr>
        <w:t>y</w:t>
      </w:r>
      <w:proofErr w:type="gramEnd"/>
      <w:r w:rsidR="00513692" w:rsidRPr="00513692">
        <w:rPr>
          <w:sz w:val="22"/>
          <w:szCs w:val="22"/>
        </w:rPr>
        <w:t xml:space="preserve"> határozta meg. </w:t>
      </w:r>
      <w:r w:rsidRPr="00513692">
        <w:rPr>
          <w:sz w:val="22"/>
          <w:szCs w:val="22"/>
        </w:rPr>
        <w:t>Polgár Város Önkormányzatának 20</w:t>
      </w:r>
      <w:r w:rsidR="00513692" w:rsidRPr="00513692">
        <w:rPr>
          <w:sz w:val="22"/>
          <w:szCs w:val="22"/>
        </w:rPr>
        <w:t>20</w:t>
      </w:r>
      <w:r w:rsidRPr="00513692">
        <w:rPr>
          <w:sz w:val="22"/>
          <w:szCs w:val="22"/>
        </w:rPr>
        <w:t xml:space="preserve">. évi költségvetéséről szóló </w:t>
      </w:r>
      <w:r w:rsidR="00513692" w:rsidRPr="00513692">
        <w:rPr>
          <w:sz w:val="22"/>
          <w:szCs w:val="22"/>
        </w:rPr>
        <w:t>3/2020. (II.21.</w:t>
      </w:r>
      <w:proofErr w:type="gramStart"/>
      <w:r w:rsidR="00513692" w:rsidRPr="00513692">
        <w:rPr>
          <w:sz w:val="22"/>
          <w:szCs w:val="22"/>
        </w:rPr>
        <w:t xml:space="preserve">)  </w:t>
      </w:r>
      <w:proofErr w:type="spellStart"/>
      <w:r w:rsidRPr="00513692">
        <w:rPr>
          <w:sz w:val="22"/>
          <w:szCs w:val="22"/>
        </w:rPr>
        <w:t>Kt</w:t>
      </w:r>
      <w:proofErr w:type="spellEnd"/>
      <w:proofErr w:type="gramEnd"/>
      <w:r w:rsidRPr="00513692">
        <w:rPr>
          <w:sz w:val="22"/>
          <w:szCs w:val="22"/>
        </w:rPr>
        <w:t xml:space="preserve"> rendelete</w:t>
      </w:r>
      <w:r w:rsidR="00513692" w:rsidRPr="00513692">
        <w:rPr>
          <w:sz w:val="22"/>
          <w:szCs w:val="22"/>
        </w:rPr>
        <w:t xml:space="preserve"> az önkormányzat 2020. évi összesített költségvetésének kiadási és bevételi fő összegét </w:t>
      </w:r>
      <w:r w:rsidR="00513692" w:rsidRPr="00513692">
        <w:rPr>
          <w:b/>
          <w:sz w:val="22"/>
          <w:szCs w:val="22"/>
        </w:rPr>
        <w:t>3.259.570.897 Ft-</w:t>
      </w:r>
      <w:r w:rsidR="00513692" w:rsidRPr="00513692">
        <w:rPr>
          <w:sz w:val="22"/>
          <w:szCs w:val="22"/>
        </w:rPr>
        <w:t>ban</w:t>
      </w:r>
      <w:r w:rsidR="00513692" w:rsidRPr="00513692">
        <w:rPr>
          <w:b/>
          <w:sz w:val="22"/>
          <w:szCs w:val="22"/>
        </w:rPr>
        <w:t xml:space="preserve"> </w:t>
      </w:r>
      <w:r w:rsidR="00513692" w:rsidRPr="00513692">
        <w:rPr>
          <w:sz w:val="22"/>
          <w:szCs w:val="22"/>
        </w:rPr>
        <w:t>állapította meg. Az előirányzatok</w:t>
      </w:r>
      <w:r w:rsidRPr="00513692">
        <w:rPr>
          <w:sz w:val="22"/>
          <w:szCs w:val="22"/>
        </w:rPr>
        <w:t xml:space="preserve"> </w:t>
      </w:r>
      <w:r w:rsidR="00AD6225" w:rsidRPr="00513692">
        <w:rPr>
          <w:sz w:val="22"/>
          <w:szCs w:val="22"/>
        </w:rPr>
        <w:t xml:space="preserve">4 alkalommal történő </w:t>
      </w:r>
      <w:r w:rsidRPr="00513692">
        <w:rPr>
          <w:sz w:val="22"/>
          <w:szCs w:val="22"/>
        </w:rPr>
        <w:t xml:space="preserve">módosításáról szóló helyi </w:t>
      </w:r>
      <w:proofErr w:type="gramStart"/>
      <w:r w:rsidRPr="00513692">
        <w:rPr>
          <w:sz w:val="22"/>
          <w:szCs w:val="22"/>
        </w:rPr>
        <w:t>rendelet</w:t>
      </w:r>
      <w:r w:rsidR="00AD6225" w:rsidRPr="00513692">
        <w:rPr>
          <w:sz w:val="22"/>
          <w:szCs w:val="22"/>
        </w:rPr>
        <w:t>ek</w:t>
      </w:r>
      <w:r w:rsidR="00513692" w:rsidRPr="00513692">
        <w:rPr>
          <w:sz w:val="22"/>
          <w:szCs w:val="22"/>
        </w:rPr>
        <w:t xml:space="preserve">  alapján</w:t>
      </w:r>
      <w:proofErr w:type="gramEnd"/>
      <w:r w:rsidR="00513692" w:rsidRPr="00513692">
        <w:rPr>
          <w:sz w:val="22"/>
          <w:szCs w:val="22"/>
        </w:rPr>
        <w:t xml:space="preserve"> a költségvetés kiadási és bevételi fő összegét</w:t>
      </w:r>
      <w:r w:rsidR="00513692" w:rsidRPr="00513692">
        <w:rPr>
          <w:b/>
          <w:sz w:val="22"/>
          <w:szCs w:val="22"/>
        </w:rPr>
        <w:t xml:space="preserve"> 3.325.421.046 </w:t>
      </w:r>
      <w:r w:rsidR="00513692" w:rsidRPr="00513692">
        <w:rPr>
          <w:sz w:val="22"/>
          <w:szCs w:val="22"/>
        </w:rPr>
        <w:t>Ft-ra változott.</w:t>
      </w:r>
    </w:p>
    <w:p w14:paraId="18B2311D" w14:textId="77777777" w:rsidR="00AD6225" w:rsidRDefault="00AD6225" w:rsidP="005B792E">
      <w:pPr>
        <w:jc w:val="both"/>
        <w:rPr>
          <w:sz w:val="22"/>
          <w:szCs w:val="22"/>
        </w:rPr>
      </w:pPr>
    </w:p>
    <w:p w14:paraId="0712D1AC" w14:textId="77777777" w:rsidR="00DD4C61" w:rsidRDefault="00E26B8F" w:rsidP="00DD4C6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8B37DD">
        <w:rPr>
          <w:sz w:val="22"/>
          <w:szCs w:val="22"/>
        </w:rPr>
        <w:t>2020.</w:t>
      </w:r>
      <w:r w:rsidR="003928CA">
        <w:rPr>
          <w:sz w:val="22"/>
          <w:szCs w:val="22"/>
        </w:rPr>
        <w:t xml:space="preserve"> évi költségvetés végrehajtását</w:t>
      </w:r>
      <w:r>
        <w:rPr>
          <w:sz w:val="22"/>
          <w:szCs w:val="22"/>
        </w:rPr>
        <w:t xml:space="preserve"> az önkormányzat</w:t>
      </w:r>
      <w:r w:rsidR="003928CA" w:rsidRPr="00253CCD">
        <w:rPr>
          <w:sz w:val="22"/>
          <w:szCs w:val="22"/>
        </w:rPr>
        <w:t xml:space="preserve"> a Polgármesteri Hivatallal együtt</w:t>
      </w:r>
      <w:r w:rsidR="003928CA" w:rsidRPr="003E0E2D">
        <w:rPr>
          <w:sz w:val="22"/>
          <w:szCs w:val="22"/>
        </w:rPr>
        <w:t xml:space="preserve"> 2 önállóan működő és gazdálkodó és 3 önállóan működő intézményen keresztül biztosította. </w:t>
      </w:r>
      <w:r w:rsidR="00DD4C61">
        <w:rPr>
          <w:sz w:val="22"/>
          <w:szCs w:val="22"/>
        </w:rPr>
        <w:t>Ö</w:t>
      </w:r>
      <w:r w:rsidR="00DD4C61" w:rsidRPr="00262F5B">
        <w:rPr>
          <w:sz w:val="22"/>
          <w:szCs w:val="22"/>
        </w:rPr>
        <w:t xml:space="preserve">nállóan működő és gazdálkodó intézményként látta el feladatát a Városgondnokság, amely alaptevékenységét tekintve városgazdálkodási tevékenységet, valamint a </w:t>
      </w:r>
      <w:r>
        <w:rPr>
          <w:sz w:val="22"/>
          <w:szCs w:val="22"/>
        </w:rPr>
        <w:t>P</w:t>
      </w:r>
      <w:r w:rsidR="00DD4C61" w:rsidRPr="00262F5B">
        <w:rPr>
          <w:sz w:val="22"/>
          <w:szCs w:val="22"/>
        </w:rPr>
        <w:t xml:space="preserve">olgármesteri </w:t>
      </w:r>
      <w:r>
        <w:rPr>
          <w:sz w:val="22"/>
          <w:szCs w:val="22"/>
        </w:rPr>
        <w:t>H</w:t>
      </w:r>
      <w:r w:rsidR="00DD4C61" w:rsidRPr="00262F5B">
        <w:rPr>
          <w:sz w:val="22"/>
          <w:szCs w:val="22"/>
        </w:rPr>
        <w:t xml:space="preserve">ivatal, amely igazgatási tevékenységet végez. </w:t>
      </w:r>
    </w:p>
    <w:p w14:paraId="7802666F" w14:textId="77777777" w:rsidR="00DD4C61" w:rsidRDefault="00DD4C61" w:rsidP="00DD4C61">
      <w:pPr>
        <w:jc w:val="both"/>
        <w:rPr>
          <w:sz w:val="22"/>
          <w:szCs w:val="22"/>
        </w:rPr>
      </w:pPr>
      <w:r w:rsidRPr="00262F5B">
        <w:rPr>
          <w:sz w:val="22"/>
          <w:szCs w:val="22"/>
        </w:rPr>
        <w:t>A Napsugár Óvoda és Bölcsőde nevelési-oktatási feladatot, a Polgári Szolgáltató Központ szociális feladatot lát el, ezen intézmények</w:t>
      </w:r>
      <w:r>
        <w:rPr>
          <w:sz w:val="22"/>
          <w:szCs w:val="22"/>
        </w:rPr>
        <w:t>,</w:t>
      </w:r>
      <w:r w:rsidRPr="00262F5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valamint a Polgári Roma Nemzetiségi Önkormányzat </w:t>
      </w:r>
      <w:r w:rsidRPr="00262F5B">
        <w:rPr>
          <w:sz w:val="22"/>
          <w:szCs w:val="22"/>
        </w:rPr>
        <w:t>pénzügyi-gazdálkodási feladatait</w:t>
      </w:r>
      <w:r>
        <w:rPr>
          <w:sz w:val="22"/>
          <w:szCs w:val="22"/>
        </w:rPr>
        <w:t xml:space="preserve">, </w:t>
      </w:r>
      <w:r w:rsidRPr="00262F5B">
        <w:rPr>
          <w:sz w:val="22"/>
          <w:szCs w:val="22"/>
        </w:rPr>
        <w:t xml:space="preserve">a </w:t>
      </w:r>
      <w:r>
        <w:rPr>
          <w:sz w:val="22"/>
          <w:szCs w:val="22"/>
        </w:rPr>
        <w:t>P</w:t>
      </w:r>
      <w:r w:rsidRPr="00262F5B">
        <w:rPr>
          <w:sz w:val="22"/>
          <w:szCs w:val="22"/>
        </w:rPr>
        <w:t xml:space="preserve">olgármesteri </w:t>
      </w:r>
      <w:r>
        <w:rPr>
          <w:sz w:val="22"/>
          <w:szCs w:val="22"/>
        </w:rPr>
        <w:t>H</w:t>
      </w:r>
      <w:r w:rsidRPr="00262F5B">
        <w:rPr>
          <w:sz w:val="22"/>
          <w:szCs w:val="22"/>
        </w:rPr>
        <w:t xml:space="preserve">ivatal gazdasági szervezete végzi.  </w:t>
      </w:r>
    </w:p>
    <w:p w14:paraId="0F209DF3" w14:textId="77777777" w:rsidR="00DD4C61" w:rsidRDefault="00DD4C61" w:rsidP="00DD4C61">
      <w:pPr>
        <w:jc w:val="both"/>
        <w:rPr>
          <w:sz w:val="22"/>
          <w:szCs w:val="22"/>
        </w:rPr>
      </w:pPr>
      <w:r w:rsidRPr="00262F5B">
        <w:rPr>
          <w:sz w:val="22"/>
          <w:szCs w:val="22"/>
        </w:rPr>
        <w:t xml:space="preserve">A Városgondnokság az önállóan működő intézmények közül a művelődési tevékenységet végző Ady Endre Művelődési Központ és Könyvtár gazdálkodási feladatait is ellátta. </w:t>
      </w:r>
    </w:p>
    <w:p w14:paraId="71581CDC" w14:textId="77777777" w:rsidR="00AC0AA2" w:rsidRDefault="00AC0AA2" w:rsidP="008341AB">
      <w:pPr>
        <w:jc w:val="both"/>
        <w:rPr>
          <w:sz w:val="22"/>
          <w:szCs w:val="22"/>
        </w:rPr>
      </w:pPr>
    </w:p>
    <w:p w14:paraId="5C581CDB" w14:textId="77777777" w:rsidR="00602B84" w:rsidRDefault="00602B84" w:rsidP="00602B84">
      <w:pPr>
        <w:numPr>
          <w:ilvl w:val="0"/>
          <w:numId w:val="8"/>
        </w:num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Feladatellátás alakulása </w:t>
      </w:r>
    </w:p>
    <w:p w14:paraId="3B57DDFE" w14:textId="77777777" w:rsidR="00602B84" w:rsidRPr="00602B84" w:rsidRDefault="00602B84" w:rsidP="00602B84">
      <w:pPr>
        <w:jc w:val="both"/>
        <w:rPr>
          <w:b/>
          <w:bCs/>
          <w:sz w:val="22"/>
          <w:szCs w:val="22"/>
          <w:u w:val="single"/>
        </w:rPr>
      </w:pPr>
    </w:p>
    <w:p w14:paraId="34EC2A59" w14:textId="77777777" w:rsidR="00881499" w:rsidRPr="00262F5B" w:rsidRDefault="00541395" w:rsidP="00881499">
      <w:pPr>
        <w:jc w:val="both"/>
        <w:rPr>
          <w:sz w:val="22"/>
          <w:szCs w:val="22"/>
        </w:rPr>
      </w:pPr>
      <w:r w:rsidRPr="00262F5B">
        <w:rPr>
          <w:b/>
          <w:sz w:val="22"/>
          <w:szCs w:val="22"/>
        </w:rPr>
        <w:t>Polgármesteri Hivatal</w:t>
      </w:r>
      <w:r w:rsidR="003302FA" w:rsidRPr="00262F5B">
        <w:rPr>
          <w:sz w:val="22"/>
          <w:szCs w:val="22"/>
        </w:rPr>
        <w:t xml:space="preserve"> </w:t>
      </w:r>
    </w:p>
    <w:p w14:paraId="63216056" w14:textId="77777777" w:rsidR="00E74065" w:rsidRPr="00323FB1" w:rsidRDefault="00E74065" w:rsidP="00E74065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23FB1">
        <w:rPr>
          <w:bCs/>
          <w:sz w:val="22"/>
          <w:szCs w:val="22"/>
        </w:rPr>
        <w:t xml:space="preserve">A Képviselő-testület döntése értelmében a Polgári Polgármesteri Hivatal működése 2020. évben 23 fővel volt biztosított. Ezen belül az általános igazgatási, műszaki, szervezési feladatokat - az irodavezetőket is beleértve – 11 fő, a pénzügyi és gazdálkodási feladatokat 8 fő, az adóügyi feladatokat 3 fő, a közterület felügyeletet 1 fő látta el. </w:t>
      </w:r>
    </w:p>
    <w:p w14:paraId="1279B270" w14:textId="77777777" w:rsidR="002F52DA" w:rsidRDefault="00E74065" w:rsidP="00DA0AD5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E74065">
        <w:rPr>
          <w:bCs/>
          <w:sz w:val="22"/>
          <w:szCs w:val="22"/>
        </w:rPr>
        <w:t>2020. III. negyedévében 1 fő köztisztviselő</w:t>
      </w:r>
      <w:r w:rsidR="00323FB1" w:rsidRPr="00323FB1">
        <w:rPr>
          <w:bCs/>
          <w:sz w:val="22"/>
          <w:szCs w:val="22"/>
        </w:rPr>
        <w:t>, pénzügyi előadó</w:t>
      </w:r>
      <w:r w:rsidRPr="00E74065">
        <w:rPr>
          <w:bCs/>
          <w:sz w:val="22"/>
          <w:szCs w:val="22"/>
        </w:rPr>
        <w:t xml:space="preserve"> él</w:t>
      </w:r>
      <w:r w:rsidR="00323FB1" w:rsidRPr="00323FB1">
        <w:rPr>
          <w:bCs/>
          <w:sz w:val="22"/>
          <w:szCs w:val="22"/>
        </w:rPr>
        <w:t>t</w:t>
      </w:r>
      <w:r w:rsidRPr="00E74065">
        <w:rPr>
          <w:bCs/>
          <w:sz w:val="22"/>
          <w:szCs w:val="22"/>
        </w:rPr>
        <w:t xml:space="preserve"> a nőket 40 éves munkaviszony után megillető nyugdíjba vonulás lehetőségével. A Pénzügyi Irodán 1 fő köztisztviselő GYES-en v</w:t>
      </w:r>
      <w:r w:rsidR="00323FB1" w:rsidRPr="00323FB1">
        <w:rPr>
          <w:bCs/>
          <w:sz w:val="22"/>
          <w:szCs w:val="22"/>
        </w:rPr>
        <w:t>olt</w:t>
      </w:r>
      <w:r w:rsidRPr="00E74065">
        <w:rPr>
          <w:bCs/>
          <w:sz w:val="22"/>
          <w:szCs w:val="22"/>
        </w:rPr>
        <w:t xml:space="preserve">, ez év szeptemberében </w:t>
      </w:r>
      <w:r w:rsidR="00323FB1" w:rsidRPr="00E74065">
        <w:rPr>
          <w:bCs/>
          <w:sz w:val="22"/>
          <w:szCs w:val="22"/>
        </w:rPr>
        <w:t xml:space="preserve">munkába </w:t>
      </w:r>
      <w:r w:rsidR="00323FB1" w:rsidRPr="00323FB1">
        <w:rPr>
          <w:bCs/>
          <w:sz w:val="22"/>
          <w:szCs w:val="22"/>
        </w:rPr>
        <w:t>állt.</w:t>
      </w:r>
      <w:r w:rsidRPr="00E74065">
        <w:rPr>
          <w:bCs/>
          <w:sz w:val="22"/>
          <w:szCs w:val="22"/>
        </w:rPr>
        <w:t xml:space="preserve"> </w:t>
      </w:r>
      <w:r w:rsidR="00323FB1" w:rsidRPr="00323FB1">
        <w:rPr>
          <w:bCs/>
          <w:sz w:val="22"/>
          <w:szCs w:val="22"/>
        </w:rPr>
        <w:t>Az</w:t>
      </w:r>
      <w:r w:rsidRPr="00E74065">
        <w:rPr>
          <w:bCs/>
          <w:sz w:val="22"/>
          <w:szCs w:val="22"/>
        </w:rPr>
        <w:t xml:space="preserve"> álláshely határozott idejű munkaszerződéssel kerül 2020. március 1-től </w:t>
      </w:r>
      <w:r w:rsidR="00323FB1" w:rsidRPr="00323FB1">
        <w:rPr>
          <w:bCs/>
          <w:sz w:val="22"/>
          <w:szCs w:val="22"/>
        </w:rPr>
        <w:t xml:space="preserve">került betöltésre, a GYES-en lévő munkatárs szabadság </w:t>
      </w:r>
      <w:r w:rsidR="00323FB1">
        <w:rPr>
          <w:bCs/>
          <w:sz w:val="22"/>
          <w:szCs w:val="22"/>
        </w:rPr>
        <w:t xml:space="preserve">igénybevétele </w:t>
      </w:r>
      <w:r w:rsidR="00323FB1" w:rsidRPr="00323FB1">
        <w:rPr>
          <w:bCs/>
          <w:sz w:val="22"/>
          <w:szCs w:val="22"/>
        </w:rPr>
        <w:t xml:space="preserve">megkezdésének időpontjáig.   </w:t>
      </w:r>
    </w:p>
    <w:p w14:paraId="61BF3B71" w14:textId="77777777" w:rsidR="00DA0AD5" w:rsidRPr="00FA0312" w:rsidRDefault="00F860B9" w:rsidP="00DA0AD5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262F5B">
        <w:rPr>
          <w:bCs/>
          <w:sz w:val="22"/>
          <w:szCs w:val="22"/>
        </w:rPr>
        <w:t>A</w:t>
      </w:r>
      <w:r w:rsidR="000104E5" w:rsidRPr="00262F5B">
        <w:rPr>
          <w:bCs/>
          <w:sz w:val="22"/>
          <w:szCs w:val="22"/>
        </w:rPr>
        <w:t xml:space="preserve"> Hivatal</w:t>
      </w:r>
      <w:r w:rsidR="000F3717">
        <w:rPr>
          <w:bCs/>
          <w:sz w:val="22"/>
          <w:szCs w:val="22"/>
        </w:rPr>
        <w:t xml:space="preserve">ban </w:t>
      </w:r>
      <w:r w:rsidR="00FA0312">
        <w:rPr>
          <w:bCs/>
          <w:sz w:val="22"/>
          <w:szCs w:val="22"/>
        </w:rPr>
        <w:t xml:space="preserve">1 fő volt </w:t>
      </w:r>
      <w:r w:rsidR="000F3717">
        <w:rPr>
          <w:bCs/>
          <w:sz w:val="22"/>
          <w:szCs w:val="22"/>
        </w:rPr>
        <w:t>a</w:t>
      </w:r>
      <w:r w:rsidR="000104E5" w:rsidRPr="00262F5B">
        <w:rPr>
          <w:bCs/>
          <w:sz w:val="22"/>
          <w:szCs w:val="22"/>
        </w:rPr>
        <w:t xml:space="preserve"> GINOP-os pályázat keretében foglalkoztatott</w:t>
      </w:r>
      <w:r w:rsidR="00FA0312">
        <w:rPr>
          <w:bCs/>
          <w:sz w:val="22"/>
          <w:szCs w:val="22"/>
        </w:rPr>
        <w:t xml:space="preserve"> munkavállaló</w:t>
      </w:r>
      <w:r w:rsidR="00E75A6B">
        <w:rPr>
          <w:bCs/>
          <w:sz w:val="22"/>
          <w:szCs w:val="22"/>
        </w:rPr>
        <w:t xml:space="preserve">, ehhez kapcsolódóan </w:t>
      </w:r>
      <w:proofErr w:type="spellStart"/>
      <w:r w:rsidR="00E75A6B">
        <w:rPr>
          <w:bCs/>
          <w:sz w:val="22"/>
          <w:szCs w:val="22"/>
        </w:rPr>
        <w:t>továbbfoglalkoztatási</w:t>
      </w:r>
      <w:proofErr w:type="spellEnd"/>
      <w:r w:rsidR="00E75A6B">
        <w:rPr>
          <w:bCs/>
          <w:sz w:val="22"/>
          <w:szCs w:val="22"/>
        </w:rPr>
        <w:t xml:space="preserve"> kötelezettség állt fenn 2020. március 7.-ig</w:t>
      </w:r>
      <w:r w:rsidR="000104E5" w:rsidRPr="00262F5B">
        <w:rPr>
          <w:bCs/>
          <w:sz w:val="22"/>
          <w:szCs w:val="22"/>
        </w:rPr>
        <w:t xml:space="preserve">. </w:t>
      </w:r>
      <w:r w:rsidR="00FA0312">
        <w:rPr>
          <w:bCs/>
          <w:sz w:val="22"/>
          <w:szCs w:val="22"/>
        </w:rPr>
        <w:t xml:space="preserve">Ezt követően nem volt bértámogatott foglalkoztatás a Hivatalnál. </w:t>
      </w:r>
      <w:r w:rsidR="00DA0AD5" w:rsidRPr="00262F5B">
        <w:rPr>
          <w:bCs/>
          <w:color w:val="000000"/>
          <w:sz w:val="22"/>
          <w:szCs w:val="22"/>
        </w:rPr>
        <w:t xml:space="preserve">A költségvetési szervnél </w:t>
      </w:r>
      <w:r w:rsidR="00E75A6B">
        <w:rPr>
          <w:bCs/>
          <w:color w:val="000000"/>
          <w:sz w:val="22"/>
          <w:szCs w:val="22"/>
        </w:rPr>
        <w:t>egész évben</w:t>
      </w:r>
      <w:r w:rsidR="00DA0AD5" w:rsidRPr="00262F5B">
        <w:rPr>
          <w:bCs/>
          <w:color w:val="000000"/>
          <w:sz w:val="22"/>
          <w:szCs w:val="22"/>
        </w:rPr>
        <w:t xml:space="preserve"> 2 fő megváltozott munkaképességű munkavállaló</w:t>
      </w:r>
      <w:r w:rsidR="00E75A6B">
        <w:rPr>
          <w:bCs/>
          <w:color w:val="000000"/>
          <w:sz w:val="22"/>
          <w:szCs w:val="22"/>
        </w:rPr>
        <w:t>t</w:t>
      </w:r>
      <w:r w:rsidR="00DA0AD5" w:rsidRPr="00262F5B">
        <w:rPr>
          <w:bCs/>
          <w:color w:val="000000"/>
          <w:sz w:val="22"/>
          <w:szCs w:val="22"/>
        </w:rPr>
        <w:t xml:space="preserve"> foglalkoztat</w:t>
      </w:r>
      <w:r w:rsidR="00E75A6B">
        <w:rPr>
          <w:bCs/>
          <w:color w:val="000000"/>
          <w:sz w:val="22"/>
          <w:szCs w:val="22"/>
        </w:rPr>
        <w:t>tak.</w:t>
      </w:r>
    </w:p>
    <w:p w14:paraId="00584635" w14:textId="77777777" w:rsidR="00DB36A0" w:rsidRPr="00262F5B" w:rsidRDefault="00DB36A0" w:rsidP="00DB36A0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14:paraId="5589FECC" w14:textId="77777777" w:rsidR="00541395" w:rsidRPr="00262F5B" w:rsidRDefault="00541395" w:rsidP="006F13D0">
      <w:pPr>
        <w:jc w:val="both"/>
        <w:rPr>
          <w:sz w:val="22"/>
          <w:szCs w:val="22"/>
        </w:rPr>
      </w:pPr>
      <w:r w:rsidRPr="00262F5B">
        <w:rPr>
          <w:b/>
          <w:sz w:val="22"/>
          <w:szCs w:val="22"/>
        </w:rPr>
        <w:t xml:space="preserve">Ady Endre Művelődési Központ és Könyvtár </w:t>
      </w:r>
      <w:r w:rsidRPr="00262F5B">
        <w:rPr>
          <w:sz w:val="22"/>
          <w:szCs w:val="22"/>
        </w:rPr>
        <w:t xml:space="preserve"> </w:t>
      </w:r>
    </w:p>
    <w:p w14:paraId="2A00C402" w14:textId="77777777" w:rsidR="00692B48" w:rsidRDefault="00692B48" w:rsidP="00692B48">
      <w:p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bookmarkStart w:id="1" w:name="_Hlk43194651"/>
      <w:r w:rsidRPr="00692B48">
        <w:rPr>
          <w:sz w:val="22"/>
          <w:szCs w:val="22"/>
        </w:rPr>
        <w:t>Az Ady Endre Művelődési Központ és Könyvtár közművelődési intézményegységében 3 fő művelődés- szervező, 1 fő ügyviteli alkalmazott és 1 fő takarító munkatárs dolgozott. A Könyvtári egységben, a szakfeladatokat 1 fő könyvtáros, 1 fő könyvtáros asszisztens, valamint 1 fő takarító végezte el a feladatát.</w:t>
      </w:r>
      <w:r>
        <w:rPr>
          <w:sz w:val="22"/>
          <w:szCs w:val="22"/>
        </w:rPr>
        <w:t xml:space="preserve"> </w:t>
      </w:r>
      <w:r w:rsidRPr="00692B48">
        <w:rPr>
          <w:sz w:val="22"/>
          <w:szCs w:val="22"/>
        </w:rPr>
        <w:t>Jubileumi jutalomra 1 dolgozó a 25 év szolgálati időre tekintettel 2 havi illetménynek megfelelő juttatásban részesült. Aki a nők 40 éves szolgálati idejére tekintettel 2020. november 30-val nyugdíjba vonult.</w:t>
      </w:r>
    </w:p>
    <w:p w14:paraId="7A6C582A" w14:textId="77777777" w:rsidR="00937480" w:rsidRPr="00692B48" w:rsidRDefault="00937480" w:rsidP="00937480">
      <w:pPr>
        <w:contextualSpacing/>
        <w:jc w:val="both"/>
        <w:rPr>
          <w:color w:val="000000"/>
          <w:sz w:val="22"/>
          <w:szCs w:val="22"/>
        </w:rPr>
      </w:pPr>
      <w:r w:rsidRPr="00692B48">
        <w:rPr>
          <w:color w:val="000000"/>
          <w:sz w:val="22"/>
          <w:szCs w:val="22"/>
        </w:rPr>
        <w:t>Az intézmény dolgozóinak a jogviszonya 2020. november 1-től kormányzati döntés következtében átalakult közalkalmazotti jogviszonyból Munka törvénykönyve hatálya alá tartozó munkaviszonnyá.</w:t>
      </w:r>
    </w:p>
    <w:p w14:paraId="297F427D" w14:textId="77777777" w:rsidR="00937480" w:rsidRPr="00692B48" w:rsidRDefault="00937480" w:rsidP="00692B48">
      <w:p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</w:p>
    <w:p w14:paraId="12267960" w14:textId="51C87EDC" w:rsidR="00692B48" w:rsidRPr="00692B48" w:rsidRDefault="00692B48" w:rsidP="00692B48">
      <w:pPr>
        <w:contextualSpacing/>
        <w:jc w:val="both"/>
        <w:rPr>
          <w:sz w:val="22"/>
          <w:szCs w:val="22"/>
        </w:rPr>
      </w:pPr>
      <w:r w:rsidRPr="00692B48">
        <w:rPr>
          <w:sz w:val="22"/>
          <w:szCs w:val="22"/>
        </w:rPr>
        <w:t>Az intézményben folyó munkát 2020. március 1</w:t>
      </w:r>
      <w:r w:rsidR="005373FE">
        <w:rPr>
          <w:sz w:val="22"/>
          <w:szCs w:val="22"/>
        </w:rPr>
        <w:t>-</w:t>
      </w:r>
      <w:r w:rsidRPr="00692B48">
        <w:rPr>
          <w:sz w:val="22"/>
          <w:szCs w:val="22"/>
        </w:rPr>
        <w:t xml:space="preserve">től </w:t>
      </w:r>
      <w:r w:rsidRPr="00692B48">
        <w:rPr>
          <w:color w:val="000000"/>
          <w:sz w:val="22"/>
          <w:szCs w:val="22"/>
        </w:rPr>
        <w:t>4,08 f</w:t>
      </w:r>
      <w:r w:rsidRPr="00692B48">
        <w:rPr>
          <w:sz w:val="22"/>
          <w:szCs w:val="22"/>
        </w:rPr>
        <w:t xml:space="preserve">ő hosszú távú közfoglalkoztatásban lévő munkatárs segítette. Ebből az önkormányzat támogatásával 3 fő takarító, 1 fő intézményi portás és november 1-től plusz 1 fő egyéb, máshová nem sorolható egyszerű szolgáltatási és szállítmányozó került foglalkoztatásra. </w:t>
      </w:r>
    </w:p>
    <w:bookmarkEnd w:id="1"/>
    <w:p w14:paraId="690B01AF" w14:textId="77777777" w:rsidR="00384632" w:rsidRPr="00697CE6" w:rsidRDefault="00384632" w:rsidP="00CF1B29">
      <w:pPr>
        <w:jc w:val="both"/>
        <w:rPr>
          <w:color w:val="000000"/>
          <w:sz w:val="22"/>
          <w:szCs w:val="22"/>
        </w:rPr>
      </w:pPr>
    </w:p>
    <w:p w14:paraId="664C7E0C" w14:textId="77777777" w:rsidR="00B126B5" w:rsidRPr="00697CE6" w:rsidRDefault="00B126B5" w:rsidP="00B126B5">
      <w:pPr>
        <w:jc w:val="both"/>
        <w:rPr>
          <w:b/>
          <w:color w:val="000000"/>
          <w:sz w:val="22"/>
          <w:szCs w:val="22"/>
        </w:rPr>
      </w:pPr>
      <w:r w:rsidRPr="00697CE6">
        <w:rPr>
          <w:b/>
          <w:color w:val="000000"/>
          <w:sz w:val="22"/>
          <w:szCs w:val="22"/>
        </w:rPr>
        <w:t>Polgári Szociális Központ</w:t>
      </w:r>
    </w:p>
    <w:p w14:paraId="1F8C8CA5" w14:textId="77777777" w:rsidR="00A94527" w:rsidRDefault="00A94527" w:rsidP="00A94527">
      <w:pPr>
        <w:jc w:val="both"/>
        <w:rPr>
          <w:sz w:val="22"/>
          <w:szCs w:val="22"/>
        </w:rPr>
      </w:pPr>
      <w:r>
        <w:rPr>
          <w:sz w:val="22"/>
          <w:szCs w:val="22"/>
        </w:rPr>
        <w:t>A szociális alapszolgáltatások körébe tartozó feladatait az intézmény 2020. évben változatlan formában biztosította. Kötelezően ellátandó feladatként az Idősek nappali ellátását, Házi segítségnyújtást, Család- és Gyermekjóléti szolgáltatást, Szociális étkeztetést és nem kötelező feladatként pedig továbbra is működtette a Támogató szolgáltatást.</w:t>
      </w:r>
    </w:p>
    <w:p w14:paraId="6DFC5A33" w14:textId="77777777" w:rsidR="00A94527" w:rsidRDefault="00A94527" w:rsidP="00A94527">
      <w:pPr>
        <w:jc w:val="both"/>
        <w:rPr>
          <w:sz w:val="22"/>
          <w:szCs w:val="22"/>
        </w:rPr>
      </w:pPr>
    </w:p>
    <w:p w14:paraId="051D4294" w14:textId="77777777" w:rsidR="00A94527" w:rsidRDefault="00A94527" w:rsidP="00A94527">
      <w:pPr>
        <w:jc w:val="both"/>
      </w:pPr>
      <w:r>
        <w:rPr>
          <w:sz w:val="22"/>
          <w:szCs w:val="22"/>
        </w:rPr>
        <w:t>A Polgári Szociális Központ 2020. évi engedélyezett létszáma 35 fő, melyből 31 fő közalkalmazott és 4 fő közfoglalkoztatott. 2020. évben közalkalmazottak esetében az átlagos statisztikai létszám 30 fő. Az átlaglétszám alakulását nagymértékben befolyásolta, hogy több munkavállaló táppénzes állományban volt a járvány miatt, illetve a Család-és Gyermekjóléti szolgálat családsegítő munkatársa 2020.09.30. napjával nyugdíjba vonult.</w:t>
      </w:r>
    </w:p>
    <w:p w14:paraId="4E8FD88B" w14:textId="0500E89F" w:rsidR="00A94527" w:rsidRDefault="00A94527" w:rsidP="00A94527">
      <w:pPr>
        <w:jc w:val="both"/>
        <w:rPr>
          <w:sz w:val="22"/>
          <w:szCs w:val="22"/>
        </w:rPr>
      </w:pPr>
      <w:r>
        <w:rPr>
          <w:sz w:val="22"/>
          <w:szCs w:val="22"/>
        </w:rPr>
        <w:t>Az intézménynél a hosszú távú közfoglalkoztatási program 2020. február 29. napjáig 4 fő foglalkoztatásával történt 70 %-os támogatással. 2020. március 1. napjától 4 fő intézményi kisegítő és takarító foglalkoztatását biztosította a program 70 %-os támogatással 2020. október 31. napjáig, majd 2020. november 1. napjától 100 %-os támogatással folytatódott a program.</w:t>
      </w:r>
    </w:p>
    <w:p w14:paraId="7F732FD9" w14:textId="77777777" w:rsidR="00B65130" w:rsidRPr="00A94527" w:rsidRDefault="00B65130" w:rsidP="008902ED">
      <w:pPr>
        <w:suppressAutoHyphens/>
        <w:jc w:val="both"/>
        <w:rPr>
          <w:bCs/>
          <w:sz w:val="22"/>
          <w:szCs w:val="22"/>
          <w:lang w:eastAsia="ar-SA"/>
        </w:rPr>
      </w:pPr>
    </w:p>
    <w:p w14:paraId="00FF927E" w14:textId="77777777" w:rsidR="00384632" w:rsidRPr="00B65130" w:rsidRDefault="00B65130" w:rsidP="007024C7">
      <w:pPr>
        <w:suppressAutoHyphens/>
        <w:contextualSpacing/>
        <w:jc w:val="both"/>
        <w:rPr>
          <w:b/>
          <w:color w:val="000000"/>
          <w:sz w:val="22"/>
          <w:szCs w:val="22"/>
          <w:lang w:eastAsia="ar-SA"/>
        </w:rPr>
      </w:pPr>
      <w:r w:rsidRPr="00B65130">
        <w:rPr>
          <w:b/>
          <w:color w:val="000000"/>
          <w:sz w:val="22"/>
          <w:szCs w:val="22"/>
          <w:lang w:eastAsia="ar-SA"/>
        </w:rPr>
        <w:t>Városgondnokság</w:t>
      </w:r>
    </w:p>
    <w:p w14:paraId="67A3AC96" w14:textId="77777777" w:rsidR="007024C7" w:rsidRPr="007024C7" w:rsidRDefault="007024C7" w:rsidP="007024C7">
      <w:pPr>
        <w:contextualSpacing/>
        <w:jc w:val="both"/>
        <w:rPr>
          <w:sz w:val="22"/>
          <w:szCs w:val="22"/>
        </w:rPr>
      </w:pPr>
      <w:r w:rsidRPr="007024C7">
        <w:rPr>
          <w:sz w:val="22"/>
          <w:szCs w:val="22"/>
        </w:rPr>
        <w:t xml:space="preserve">Az intézmény engedélyezett létszáma 42 fő, 3 fő a megváltozott munkaképességű munkavállaló és 8 fő </w:t>
      </w:r>
      <w:proofErr w:type="gramStart"/>
      <w:r w:rsidRPr="007024C7">
        <w:rPr>
          <w:sz w:val="22"/>
          <w:szCs w:val="22"/>
        </w:rPr>
        <w:t>a  közfoglalkoztatottak</w:t>
      </w:r>
      <w:proofErr w:type="gramEnd"/>
      <w:r w:rsidRPr="007024C7">
        <w:rPr>
          <w:sz w:val="22"/>
          <w:szCs w:val="22"/>
        </w:rPr>
        <w:t xml:space="preserve">  az átlagos statisztikai állományi létszáma.</w:t>
      </w:r>
    </w:p>
    <w:p w14:paraId="0D20D4E8" w14:textId="1F88027F" w:rsidR="007024C7" w:rsidRPr="007024C7" w:rsidRDefault="007024C7" w:rsidP="007024C7">
      <w:pPr>
        <w:contextualSpacing/>
        <w:jc w:val="both"/>
        <w:rPr>
          <w:sz w:val="22"/>
          <w:szCs w:val="22"/>
        </w:rPr>
      </w:pPr>
      <w:r w:rsidRPr="007024C7">
        <w:rPr>
          <w:sz w:val="22"/>
          <w:szCs w:val="22"/>
        </w:rPr>
        <w:t>2020. december 31-vel munkajogi állományi létszám közalkalmazotti jogviszonyban 38 főt foglalkoztattak, 3 fő megváltozott munkaképességű dolgozót alkalmaztak, közfoglalkoztatott létszámuk pedig 25 fővel teljesült.  Az engedélyezett létszám és a tényadatok köz</w:t>
      </w:r>
      <w:r w:rsidR="00EE0E06">
        <w:rPr>
          <w:sz w:val="22"/>
          <w:szCs w:val="22"/>
        </w:rPr>
        <w:t xml:space="preserve">ti </w:t>
      </w:r>
      <w:r w:rsidRPr="007024C7">
        <w:rPr>
          <w:sz w:val="22"/>
          <w:szCs w:val="22"/>
        </w:rPr>
        <w:t>eltérés oka, hogy közalkalmazotti állományból 4 álláshely nem volt betöltve december 31-én (2 szakács, 1 adminisztrátor, 1 fő konyha és fürdővezető).</w:t>
      </w:r>
    </w:p>
    <w:p w14:paraId="3F948220" w14:textId="77777777" w:rsidR="00B65130" w:rsidRPr="00697CE6" w:rsidRDefault="00B65130" w:rsidP="00B126B5">
      <w:pPr>
        <w:suppressAutoHyphens/>
        <w:jc w:val="both"/>
        <w:rPr>
          <w:bCs/>
          <w:color w:val="000000"/>
          <w:sz w:val="22"/>
          <w:szCs w:val="22"/>
          <w:lang w:eastAsia="ar-SA"/>
        </w:rPr>
      </w:pPr>
    </w:p>
    <w:p w14:paraId="3F50E828" w14:textId="77777777" w:rsidR="00B126B5" w:rsidRPr="00697CE6" w:rsidRDefault="00B126B5" w:rsidP="00B126B5">
      <w:pPr>
        <w:pStyle w:val="Nincstrkz"/>
        <w:jc w:val="both"/>
        <w:rPr>
          <w:b/>
          <w:color w:val="000000"/>
          <w:sz w:val="22"/>
          <w:szCs w:val="22"/>
        </w:rPr>
      </w:pPr>
      <w:r w:rsidRPr="00697CE6">
        <w:rPr>
          <w:b/>
          <w:color w:val="000000"/>
          <w:sz w:val="22"/>
          <w:szCs w:val="22"/>
        </w:rPr>
        <w:t xml:space="preserve">Napsugár Óvoda és Bölcsőde </w:t>
      </w:r>
    </w:p>
    <w:p w14:paraId="1DE71AE7" w14:textId="77777777" w:rsidR="008674F7" w:rsidRPr="00B302E6" w:rsidRDefault="008674F7" w:rsidP="008674F7">
      <w:pPr>
        <w:rPr>
          <w:sz w:val="22"/>
          <w:szCs w:val="22"/>
        </w:rPr>
      </w:pPr>
      <w:r w:rsidRPr="00B302E6">
        <w:rPr>
          <w:sz w:val="22"/>
          <w:szCs w:val="22"/>
        </w:rPr>
        <w:t>A Napsugár Óvoda és Bölcsőde 2020. január 1-i dolgozói létszám</w:t>
      </w:r>
      <w:r>
        <w:rPr>
          <w:sz w:val="22"/>
          <w:szCs w:val="22"/>
        </w:rPr>
        <w:t>a</w:t>
      </w:r>
      <w:r w:rsidRPr="00B302E6">
        <w:rPr>
          <w:sz w:val="22"/>
          <w:szCs w:val="22"/>
        </w:rPr>
        <w:t xml:space="preserve"> 55 fő</w:t>
      </w:r>
      <w:r>
        <w:rPr>
          <w:sz w:val="22"/>
          <w:szCs w:val="22"/>
        </w:rPr>
        <w:t xml:space="preserve"> volt</w:t>
      </w:r>
      <w:r w:rsidRPr="00B302E6">
        <w:rPr>
          <w:sz w:val="22"/>
          <w:szCs w:val="22"/>
        </w:rPr>
        <w:t xml:space="preserve">: </w:t>
      </w:r>
    </w:p>
    <w:p w14:paraId="45FFD7A0" w14:textId="77777777" w:rsidR="008674F7" w:rsidRPr="00CA5F3E" w:rsidRDefault="008674F7" w:rsidP="008674F7">
      <w:pPr>
        <w:ind w:left="851" w:hanging="142"/>
        <w:jc w:val="both"/>
        <w:rPr>
          <w:sz w:val="22"/>
          <w:szCs w:val="22"/>
        </w:rPr>
      </w:pPr>
      <w:r w:rsidRPr="00CA5F3E">
        <w:rPr>
          <w:sz w:val="22"/>
          <w:szCs w:val="22"/>
        </w:rPr>
        <w:t>- 47 fő közalkalmazott, ebből tartósan</w:t>
      </w:r>
      <w:r>
        <w:rPr>
          <w:sz w:val="22"/>
          <w:szCs w:val="22"/>
        </w:rPr>
        <w:t xml:space="preserve"> távol lévő dolgozók: gyesen volt 2 fő óvodapedagógus, GYED-en volt</w:t>
      </w:r>
      <w:r w:rsidRPr="00CA5F3E">
        <w:rPr>
          <w:sz w:val="22"/>
          <w:szCs w:val="22"/>
        </w:rPr>
        <w:t xml:space="preserve"> 1</w:t>
      </w:r>
      <w:r>
        <w:rPr>
          <w:sz w:val="22"/>
          <w:szCs w:val="22"/>
        </w:rPr>
        <w:t xml:space="preserve"> fő kisgyermeknevelő, CSED-en volt</w:t>
      </w:r>
      <w:r w:rsidRPr="00CA5F3E">
        <w:rPr>
          <w:sz w:val="22"/>
          <w:szCs w:val="22"/>
        </w:rPr>
        <w:t xml:space="preserve"> 1 fő pedagógiai asszisztens, </w:t>
      </w:r>
    </w:p>
    <w:p w14:paraId="02FFE873" w14:textId="77777777" w:rsidR="008674F7" w:rsidRPr="00CA5F3E" w:rsidRDefault="008674F7" w:rsidP="008674F7">
      <w:pPr>
        <w:ind w:firstLine="708"/>
        <w:jc w:val="both"/>
        <w:rPr>
          <w:sz w:val="22"/>
          <w:szCs w:val="22"/>
        </w:rPr>
      </w:pPr>
      <w:r w:rsidRPr="00CA5F3E">
        <w:rPr>
          <w:sz w:val="22"/>
          <w:szCs w:val="22"/>
        </w:rPr>
        <w:t>- 2 fő rehabilitált munkavállaló,</w:t>
      </w:r>
    </w:p>
    <w:p w14:paraId="2E8536A8" w14:textId="77777777" w:rsidR="008674F7" w:rsidRPr="008674F7" w:rsidRDefault="008674F7" w:rsidP="008674F7">
      <w:pPr>
        <w:ind w:firstLine="708"/>
        <w:jc w:val="both"/>
        <w:rPr>
          <w:sz w:val="22"/>
          <w:szCs w:val="22"/>
        </w:rPr>
      </w:pPr>
      <w:r w:rsidRPr="00CA5F3E">
        <w:rPr>
          <w:sz w:val="22"/>
          <w:szCs w:val="22"/>
        </w:rPr>
        <w:t>- 6 fő közfoglalkoztatott.</w:t>
      </w:r>
    </w:p>
    <w:p w14:paraId="478E8B52" w14:textId="77777777" w:rsidR="008674F7" w:rsidRPr="00C4672C" w:rsidRDefault="008674F7" w:rsidP="008674F7">
      <w:pPr>
        <w:jc w:val="both"/>
        <w:rPr>
          <w:color w:val="000000"/>
          <w:sz w:val="22"/>
          <w:szCs w:val="22"/>
        </w:rPr>
      </w:pPr>
      <w:r w:rsidRPr="00C4672C">
        <w:rPr>
          <w:color w:val="000000"/>
          <w:sz w:val="22"/>
          <w:szCs w:val="22"/>
        </w:rPr>
        <w:t>2020. január 1-től tervezésre került a háromévenkénti kötelező soros lépés 9 fő óvodapedagógus, 2 fő kisgyermeknevelő, 7 fő nevelő és oktató munkát segítő alkalmazott és 1 fő technikai dolgozó esetében.</w:t>
      </w:r>
      <w:r w:rsidRPr="00CA5F3E">
        <w:rPr>
          <w:color w:val="FF0000"/>
          <w:sz w:val="22"/>
          <w:szCs w:val="22"/>
        </w:rPr>
        <w:t xml:space="preserve"> </w:t>
      </w:r>
      <w:r w:rsidRPr="00C4672C">
        <w:rPr>
          <w:color w:val="000000"/>
          <w:sz w:val="22"/>
          <w:szCs w:val="22"/>
        </w:rPr>
        <w:t>Minimálbéremelésre 29 fő közalkalmazott és 2 fő rehabilitációs alkalmazott</w:t>
      </w:r>
      <w:r w:rsidRPr="00CA5F3E">
        <w:rPr>
          <w:color w:val="FF0000"/>
          <w:sz w:val="22"/>
          <w:szCs w:val="22"/>
        </w:rPr>
        <w:t xml:space="preserve"> </w:t>
      </w:r>
      <w:r w:rsidRPr="00C4672C">
        <w:rPr>
          <w:color w:val="000000"/>
          <w:sz w:val="22"/>
          <w:szCs w:val="22"/>
        </w:rPr>
        <w:t>volt jogosult.</w:t>
      </w:r>
    </w:p>
    <w:p w14:paraId="4283B3C9" w14:textId="77777777" w:rsidR="008674F7" w:rsidRPr="00C4672C" w:rsidRDefault="008674F7" w:rsidP="008674F7">
      <w:pPr>
        <w:jc w:val="both"/>
        <w:rPr>
          <w:color w:val="000000"/>
          <w:sz w:val="22"/>
          <w:szCs w:val="22"/>
        </w:rPr>
      </w:pPr>
      <w:r w:rsidRPr="00C4672C">
        <w:rPr>
          <w:color w:val="000000"/>
          <w:sz w:val="22"/>
          <w:szCs w:val="22"/>
        </w:rPr>
        <w:t xml:space="preserve">Sikeres minősítő eljárás következtében 1 fő óvodapedagógus </w:t>
      </w:r>
      <w:proofErr w:type="spellStart"/>
      <w:r w:rsidRPr="00C4672C">
        <w:rPr>
          <w:color w:val="000000"/>
          <w:sz w:val="22"/>
          <w:szCs w:val="22"/>
        </w:rPr>
        <w:t>Ped</w:t>
      </w:r>
      <w:proofErr w:type="spellEnd"/>
      <w:r w:rsidRPr="00C4672C">
        <w:rPr>
          <w:color w:val="000000"/>
          <w:sz w:val="22"/>
          <w:szCs w:val="22"/>
        </w:rPr>
        <w:t xml:space="preserve"> I besorolásból </w:t>
      </w:r>
      <w:proofErr w:type="spellStart"/>
      <w:r w:rsidRPr="00C4672C">
        <w:rPr>
          <w:color w:val="000000"/>
          <w:sz w:val="22"/>
          <w:szCs w:val="22"/>
        </w:rPr>
        <w:t>Ped</w:t>
      </w:r>
      <w:proofErr w:type="spellEnd"/>
      <w:r w:rsidRPr="00C4672C">
        <w:rPr>
          <w:color w:val="000000"/>
          <w:sz w:val="22"/>
          <w:szCs w:val="22"/>
        </w:rPr>
        <w:t xml:space="preserve"> II besorolásba lépett 2020. január elsejétől.</w:t>
      </w:r>
    </w:p>
    <w:p w14:paraId="51950E8B" w14:textId="77777777" w:rsidR="008674F7" w:rsidRPr="00C4672C" w:rsidRDefault="008674F7" w:rsidP="008674F7">
      <w:pPr>
        <w:jc w:val="both"/>
        <w:rPr>
          <w:color w:val="000000"/>
          <w:sz w:val="22"/>
          <w:szCs w:val="22"/>
        </w:rPr>
      </w:pPr>
      <w:r w:rsidRPr="00C4672C">
        <w:rPr>
          <w:color w:val="000000"/>
          <w:sz w:val="22"/>
          <w:szCs w:val="22"/>
        </w:rPr>
        <w:t>Közalkalmazotti jogviszonya alapján 2020-ban 1 fő óvodapedagógus 40 éves jubileumi jutalomban részesült.</w:t>
      </w:r>
    </w:p>
    <w:p w14:paraId="5E5BD33F" w14:textId="77777777" w:rsidR="008674F7" w:rsidRPr="00C4672C" w:rsidRDefault="008674F7" w:rsidP="008674F7">
      <w:pPr>
        <w:jc w:val="both"/>
        <w:rPr>
          <w:color w:val="000000"/>
          <w:sz w:val="22"/>
          <w:szCs w:val="22"/>
        </w:rPr>
      </w:pPr>
      <w:r w:rsidRPr="00C4672C">
        <w:rPr>
          <w:color w:val="000000"/>
          <w:sz w:val="22"/>
          <w:szCs w:val="22"/>
        </w:rPr>
        <w:t>A 2020-as évben természetes létszámfogyásból adódó személyi változások: 2 fő óvodapedagógus rendelkezett 40 év szolgálati idővel, és élt a nyugdíjra való jogosultság igénybevételével. A megüresedett álláshelyek betöltésre kerültek pedagógiai asszisztens munkakörben foglalkoztatott dolgozókkal.</w:t>
      </w:r>
    </w:p>
    <w:p w14:paraId="554F0999" w14:textId="77777777" w:rsidR="00EE0E06" w:rsidRDefault="00EE0E06" w:rsidP="008674F7">
      <w:pPr>
        <w:jc w:val="both"/>
        <w:rPr>
          <w:b/>
          <w:bCs/>
          <w:sz w:val="22"/>
          <w:szCs w:val="22"/>
        </w:rPr>
      </w:pPr>
    </w:p>
    <w:p w14:paraId="03C3EF2F" w14:textId="3FD479BC" w:rsidR="008674F7" w:rsidRPr="00EE0E06" w:rsidRDefault="008674F7" w:rsidP="008674F7">
      <w:pPr>
        <w:jc w:val="both"/>
        <w:rPr>
          <w:i/>
          <w:iCs/>
          <w:sz w:val="22"/>
          <w:szCs w:val="22"/>
        </w:rPr>
      </w:pPr>
      <w:r w:rsidRPr="00EE0E06">
        <w:rPr>
          <w:i/>
          <w:iCs/>
          <w:sz w:val="22"/>
          <w:szCs w:val="22"/>
        </w:rPr>
        <w:t>Gyermeklétszám alakulása</w:t>
      </w:r>
    </w:p>
    <w:p w14:paraId="0EBB82A4" w14:textId="77777777" w:rsidR="008674F7" w:rsidRPr="00B026C4" w:rsidRDefault="008674F7" w:rsidP="008674F7">
      <w:pPr>
        <w:jc w:val="both"/>
        <w:rPr>
          <w:sz w:val="22"/>
          <w:szCs w:val="22"/>
        </w:rPr>
      </w:pPr>
      <w:r>
        <w:rPr>
          <w:sz w:val="22"/>
          <w:szCs w:val="22"/>
        </w:rPr>
        <w:t>Az óvodai gyermeklétszám 2020. év első 8 hónapban 267</w:t>
      </w:r>
      <w:r w:rsidRPr="00CA5F3E">
        <w:rPr>
          <w:sz w:val="22"/>
          <w:szCs w:val="22"/>
        </w:rPr>
        <w:t xml:space="preserve"> fő volt, az óvodai csoportok átlagban </w:t>
      </w:r>
      <w:r>
        <w:rPr>
          <w:sz w:val="22"/>
          <w:szCs w:val="22"/>
        </w:rPr>
        <w:t>24</w:t>
      </w:r>
      <w:r w:rsidRPr="00CA5F3E">
        <w:rPr>
          <w:sz w:val="22"/>
          <w:szCs w:val="22"/>
        </w:rPr>
        <w:t xml:space="preserve"> fős </w:t>
      </w:r>
      <w:r w:rsidRPr="009B37AD">
        <w:rPr>
          <w:sz w:val="22"/>
          <w:szCs w:val="22"/>
        </w:rPr>
        <w:t>létszámmal működtek</w:t>
      </w:r>
      <w:r w:rsidRPr="00CA5F3E">
        <w:rPr>
          <w:sz w:val="22"/>
          <w:szCs w:val="22"/>
        </w:rPr>
        <w:t>. Az év utolsó 4 hónapjában</w:t>
      </w:r>
      <w:r>
        <w:rPr>
          <w:sz w:val="22"/>
          <w:szCs w:val="22"/>
        </w:rPr>
        <w:t xml:space="preserve"> 252</w:t>
      </w:r>
      <w:r w:rsidRPr="00CA5F3E">
        <w:rPr>
          <w:sz w:val="22"/>
          <w:szCs w:val="22"/>
        </w:rPr>
        <w:t xml:space="preserve"> fő gyermeklétszámmal átlag 2</w:t>
      </w:r>
      <w:r>
        <w:rPr>
          <w:sz w:val="22"/>
          <w:szCs w:val="22"/>
        </w:rPr>
        <w:t>3</w:t>
      </w:r>
      <w:r w:rsidRPr="00CA5F3E">
        <w:rPr>
          <w:sz w:val="22"/>
          <w:szCs w:val="22"/>
        </w:rPr>
        <w:t xml:space="preserve"> fős óvodai </w:t>
      </w:r>
      <w:r w:rsidRPr="00B026C4">
        <w:rPr>
          <w:sz w:val="22"/>
          <w:szCs w:val="22"/>
        </w:rPr>
        <w:t>csoportok működtek. Felmentést kapott 3 fő.</w:t>
      </w:r>
    </w:p>
    <w:p w14:paraId="4A8F99A1" w14:textId="77777777" w:rsidR="008674F7" w:rsidRDefault="008674F7" w:rsidP="008674F7">
      <w:pPr>
        <w:jc w:val="both"/>
        <w:rPr>
          <w:sz w:val="22"/>
          <w:szCs w:val="22"/>
        </w:rPr>
      </w:pPr>
      <w:r w:rsidRPr="00CA5F3E">
        <w:rPr>
          <w:sz w:val="22"/>
          <w:szCs w:val="22"/>
        </w:rPr>
        <w:t xml:space="preserve">Bölcsődei gondozásban – figyelembe véve a hiányzásokat, valamint az év során a gyermekek személyében bekövetkezett változásokat – átlagosan </w:t>
      </w:r>
      <w:r w:rsidRPr="00373026">
        <w:rPr>
          <w:sz w:val="22"/>
          <w:szCs w:val="22"/>
        </w:rPr>
        <w:t>14</w:t>
      </w:r>
      <w:r w:rsidRPr="00CA5F3E">
        <w:rPr>
          <w:sz w:val="22"/>
          <w:szCs w:val="22"/>
        </w:rPr>
        <w:t xml:space="preserve"> fő részesült.</w:t>
      </w:r>
    </w:p>
    <w:p w14:paraId="02059D58" w14:textId="77777777" w:rsidR="00E74D6F" w:rsidRDefault="00E74D6F" w:rsidP="00D661A0">
      <w:pPr>
        <w:jc w:val="both"/>
        <w:rPr>
          <w:color w:val="000000"/>
          <w:sz w:val="22"/>
          <w:szCs w:val="22"/>
        </w:rPr>
      </w:pPr>
    </w:p>
    <w:p w14:paraId="2C71E301" w14:textId="77777777" w:rsidR="00602B84" w:rsidRDefault="00602B84" w:rsidP="00602B84">
      <w:pPr>
        <w:numPr>
          <w:ilvl w:val="0"/>
          <w:numId w:val="8"/>
        </w:numPr>
        <w:jc w:val="both"/>
        <w:rPr>
          <w:b/>
          <w:bCs/>
          <w:color w:val="000000"/>
          <w:sz w:val="22"/>
          <w:szCs w:val="22"/>
          <w:u w:val="single"/>
        </w:rPr>
      </w:pPr>
      <w:r w:rsidRPr="00602B84">
        <w:rPr>
          <w:b/>
          <w:bCs/>
          <w:color w:val="000000"/>
          <w:sz w:val="22"/>
          <w:szCs w:val="22"/>
          <w:u w:val="single"/>
        </w:rPr>
        <w:t>Bevételek és kiadások alakulása</w:t>
      </w:r>
    </w:p>
    <w:p w14:paraId="281E7363" w14:textId="77777777" w:rsidR="00602B84" w:rsidRPr="00602B84" w:rsidRDefault="00602B84" w:rsidP="00D661A0">
      <w:pPr>
        <w:jc w:val="both"/>
        <w:rPr>
          <w:b/>
          <w:bCs/>
          <w:color w:val="000000"/>
          <w:sz w:val="22"/>
          <w:szCs w:val="22"/>
          <w:u w:val="single"/>
        </w:rPr>
      </w:pPr>
    </w:p>
    <w:p w14:paraId="333D552A" w14:textId="77777777" w:rsidR="00541395" w:rsidRPr="00697CE6" w:rsidRDefault="00541395" w:rsidP="006F13D0">
      <w:pPr>
        <w:jc w:val="both"/>
        <w:rPr>
          <w:b/>
          <w:color w:val="000000"/>
          <w:sz w:val="22"/>
          <w:szCs w:val="22"/>
        </w:rPr>
      </w:pPr>
      <w:r w:rsidRPr="00697CE6">
        <w:rPr>
          <w:b/>
          <w:color w:val="000000"/>
          <w:sz w:val="22"/>
          <w:szCs w:val="22"/>
        </w:rPr>
        <w:t>Városgondnokság</w:t>
      </w:r>
    </w:p>
    <w:p w14:paraId="52F8E893" w14:textId="77777777" w:rsidR="007024C7" w:rsidRPr="007024C7" w:rsidRDefault="007024C7" w:rsidP="007024C7">
      <w:pPr>
        <w:contextualSpacing/>
        <w:jc w:val="center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1885"/>
        <w:gridCol w:w="1842"/>
        <w:gridCol w:w="1844"/>
        <w:gridCol w:w="1060"/>
      </w:tblGrid>
      <w:tr w:rsidR="007024C7" w:rsidRPr="007024C7" w14:paraId="089F57C3" w14:textId="77777777" w:rsidTr="00DA4D72">
        <w:trPr>
          <w:jc w:val="center"/>
        </w:trPr>
        <w:tc>
          <w:tcPr>
            <w:tcW w:w="2320" w:type="dxa"/>
            <w:shd w:val="clear" w:color="auto" w:fill="auto"/>
          </w:tcPr>
          <w:p w14:paraId="31FF31B6" w14:textId="77777777" w:rsidR="007024C7" w:rsidRPr="007024C7" w:rsidRDefault="007024C7" w:rsidP="007024C7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shd w:val="clear" w:color="auto" w:fill="auto"/>
          </w:tcPr>
          <w:p w14:paraId="2622D295" w14:textId="77777777" w:rsidR="007024C7" w:rsidRPr="007024C7" w:rsidRDefault="007024C7" w:rsidP="007024C7">
            <w:pPr>
              <w:contextualSpacing/>
              <w:jc w:val="center"/>
              <w:rPr>
                <w:sz w:val="22"/>
                <w:szCs w:val="22"/>
              </w:rPr>
            </w:pPr>
            <w:r w:rsidRPr="007024C7">
              <w:rPr>
                <w:sz w:val="22"/>
                <w:szCs w:val="22"/>
              </w:rPr>
              <w:t>Eredeti előirányzat</w:t>
            </w:r>
          </w:p>
        </w:tc>
        <w:tc>
          <w:tcPr>
            <w:tcW w:w="1842" w:type="dxa"/>
            <w:shd w:val="clear" w:color="auto" w:fill="auto"/>
          </w:tcPr>
          <w:p w14:paraId="20F57233" w14:textId="77777777" w:rsidR="007024C7" w:rsidRPr="007024C7" w:rsidRDefault="007024C7" w:rsidP="007024C7">
            <w:pPr>
              <w:contextualSpacing/>
              <w:jc w:val="center"/>
              <w:rPr>
                <w:sz w:val="22"/>
                <w:szCs w:val="22"/>
              </w:rPr>
            </w:pPr>
            <w:r w:rsidRPr="007024C7">
              <w:rPr>
                <w:sz w:val="22"/>
                <w:szCs w:val="22"/>
              </w:rPr>
              <w:t>Módosított előirányzat</w:t>
            </w:r>
          </w:p>
        </w:tc>
        <w:tc>
          <w:tcPr>
            <w:tcW w:w="1844" w:type="dxa"/>
            <w:shd w:val="clear" w:color="auto" w:fill="auto"/>
          </w:tcPr>
          <w:p w14:paraId="032AE0BA" w14:textId="77777777" w:rsidR="007024C7" w:rsidRPr="007024C7" w:rsidRDefault="007024C7" w:rsidP="007024C7">
            <w:pPr>
              <w:contextualSpacing/>
              <w:jc w:val="center"/>
              <w:rPr>
                <w:sz w:val="22"/>
                <w:szCs w:val="22"/>
              </w:rPr>
            </w:pPr>
            <w:r w:rsidRPr="007024C7">
              <w:rPr>
                <w:sz w:val="22"/>
                <w:szCs w:val="22"/>
              </w:rPr>
              <w:t>Teljesítés</w:t>
            </w:r>
          </w:p>
        </w:tc>
        <w:tc>
          <w:tcPr>
            <w:tcW w:w="1060" w:type="dxa"/>
            <w:shd w:val="clear" w:color="auto" w:fill="auto"/>
          </w:tcPr>
          <w:p w14:paraId="1EFBFD04" w14:textId="77777777" w:rsidR="007024C7" w:rsidRPr="007024C7" w:rsidRDefault="007024C7" w:rsidP="007024C7">
            <w:pPr>
              <w:contextualSpacing/>
              <w:jc w:val="center"/>
              <w:rPr>
                <w:sz w:val="22"/>
                <w:szCs w:val="22"/>
              </w:rPr>
            </w:pPr>
            <w:r w:rsidRPr="007024C7">
              <w:rPr>
                <w:sz w:val="22"/>
                <w:szCs w:val="22"/>
              </w:rPr>
              <w:t>Teljesítés</w:t>
            </w:r>
          </w:p>
          <w:p w14:paraId="442633D5" w14:textId="77777777" w:rsidR="007024C7" w:rsidRPr="007024C7" w:rsidRDefault="007024C7" w:rsidP="007024C7">
            <w:pPr>
              <w:contextualSpacing/>
              <w:jc w:val="center"/>
              <w:rPr>
                <w:sz w:val="22"/>
                <w:szCs w:val="22"/>
              </w:rPr>
            </w:pPr>
            <w:r w:rsidRPr="007024C7">
              <w:rPr>
                <w:sz w:val="22"/>
                <w:szCs w:val="22"/>
              </w:rPr>
              <w:t>%-a</w:t>
            </w:r>
          </w:p>
        </w:tc>
      </w:tr>
      <w:tr w:rsidR="007024C7" w:rsidRPr="007024C7" w14:paraId="385509CC" w14:textId="77777777" w:rsidTr="00DA4D72">
        <w:trPr>
          <w:jc w:val="center"/>
        </w:trPr>
        <w:tc>
          <w:tcPr>
            <w:tcW w:w="2320" w:type="dxa"/>
            <w:shd w:val="clear" w:color="auto" w:fill="auto"/>
          </w:tcPr>
          <w:p w14:paraId="63F67E19" w14:textId="77777777" w:rsidR="007024C7" w:rsidRPr="007024C7" w:rsidRDefault="007024C7" w:rsidP="007024C7">
            <w:pPr>
              <w:contextualSpacing/>
              <w:jc w:val="center"/>
              <w:rPr>
                <w:sz w:val="22"/>
                <w:szCs w:val="22"/>
              </w:rPr>
            </w:pPr>
            <w:r w:rsidRPr="007024C7">
              <w:rPr>
                <w:sz w:val="22"/>
                <w:szCs w:val="22"/>
              </w:rPr>
              <w:t>Bevétel</w:t>
            </w:r>
          </w:p>
        </w:tc>
        <w:tc>
          <w:tcPr>
            <w:tcW w:w="1885" w:type="dxa"/>
            <w:shd w:val="clear" w:color="auto" w:fill="auto"/>
          </w:tcPr>
          <w:p w14:paraId="02507002" w14:textId="77777777" w:rsidR="007024C7" w:rsidRPr="007024C7" w:rsidRDefault="007024C7" w:rsidP="007024C7">
            <w:pPr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7024C7">
              <w:rPr>
                <w:sz w:val="22"/>
                <w:szCs w:val="22"/>
              </w:rPr>
              <w:t>348.936.438,-</w:t>
            </w:r>
            <w:proofErr w:type="gramEnd"/>
            <w:r w:rsidRPr="007024C7">
              <w:rPr>
                <w:sz w:val="22"/>
                <w:szCs w:val="22"/>
              </w:rPr>
              <w:t xml:space="preserve"> Ft</w:t>
            </w:r>
          </w:p>
        </w:tc>
        <w:tc>
          <w:tcPr>
            <w:tcW w:w="1842" w:type="dxa"/>
            <w:shd w:val="clear" w:color="auto" w:fill="auto"/>
          </w:tcPr>
          <w:p w14:paraId="62E5B7EB" w14:textId="77777777" w:rsidR="007024C7" w:rsidRPr="007024C7" w:rsidRDefault="007024C7" w:rsidP="007024C7">
            <w:pPr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7024C7">
              <w:rPr>
                <w:sz w:val="22"/>
                <w:szCs w:val="22"/>
              </w:rPr>
              <w:t>360.793.916,-</w:t>
            </w:r>
            <w:proofErr w:type="gramEnd"/>
            <w:r w:rsidRPr="007024C7">
              <w:rPr>
                <w:sz w:val="22"/>
                <w:szCs w:val="22"/>
              </w:rPr>
              <w:t xml:space="preserve"> Ft</w:t>
            </w:r>
          </w:p>
        </w:tc>
        <w:tc>
          <w:tcPr>
            <w:tcW w:w="1844" w:type="dxa"/>
            <w:shd w:val="clear" w:color="auto" w:fill="auto"/>
          </w:tcPr>
          <w:p w14:paraId="21CD9F3F" w14:textId="77777777" w:rsidR="007024C7" w:rsidRPr="007024C7" w:rsidRDefault="007024C7" w:rsidP="007024C7">
            <w:pPr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7024C7">
              <w:rPr>
                <w:sz w:val="22"/>
                <w:szCs w:val="22"/>
              </w:rPr>
              <w:t>342.599.904,-</w:t>
            </w:r>
            <w:proofErr w:type="gramEnd"/>
            <w:r w:rsidRPr="007024C7">
              <w:rPr>
                <w:sz w:val="22"/>
                <w:szCs w:val="22"/>
              </w:rPr>
              <w:t xml:space="preserve"> Ft</w:t>
            </w:r>
          </w:p>
        </w:tc>
        <w:tc>
          <w:tcPr>
            <w:tcW w:w="1060" w:type="dxa"/>
            <w:shd w:val="clear" w:color="auto" w:fill="auto"/>
          </w:tcPr>
          <w:p w14:paraId="6862FB71" w14:textId="77777777" w:rsidR="007024C7" w:rsidRPr="007024C7" w:rsidRDefault="007024C7" w:rsidP="007024C7">
            <w:pPr>
              <w:contextualSpacing/>
              <w:jc w:val="center"/>
              <w:rPr>
                <w:sz w:val="22"/>
                <w:szCs w:val="22"/>
              </w:rPr>
            </w:pPr>
            <w:r w:rsidRPr="007024C7">
              <w:rPr>
                <w:sz w:val="22"/>
                <w:szCs w:val="22"/>
              </w:rPr>
              <w:t xml:space="preserve"> 94,96 %</w:t>
            </w:r>
          </w:p>
        </w:tc>
      </w:tr>
      <w:tr w:rsidR="007024C7" w:rsidRPr="007024C7" w14:paraId="175BE26E" w14:textId="77777777" w:rsidTr="00DA4D72">
        <w:trPr>
          <w:jc w:val="center"/>
        </w:trPr>
        <w:tc>
          <w:tcPr>
            <w:tcW w:w="2320" w:type="dxa"/>
            <w:shd w:val="clear" w:color="auto" w:fill="auto"/>
          </w:tcPr>
          <w:p w14:paraId="3165B898" w14:textId="77777777" w:rsidR="007024C7" w:rsidRPr="007024C7" w:rsidRDefault="007024C7" w:rsidP="007024C7">
            <w:pPr>
              <w:contextualSpacing/>
              <w:jc w:val="center"/>
              <w:rPr>
                <w:sz w:val="22"/>
                <w:szCs w:val="22"/>
              </w:rPr>
            </w:pPr>
            <w:r w:rsidRPr="007024C7">
              <w:rPr>
                <w:sz w:val="22"/>
                <w:szCs w:val="22"/>
              </w:rPr>
              <w:t>Kiadás</w:t>
            </w:r>
          </w:p>
        </w:tc>
        <w:tc>
          <w:tcPr>
            <w:tcW w:w="1885" w:type="dxa"/>
            <w:shd w:val="clear" w:color="auto" w:fill="auto"/>
          </w:tcPr>
          <w:p w14:paraId="26675EC3" w14:textId="77777777" w:rsidR="007024C7" w:rsidRPr="007024C7" w:rsidRDefault="007024C7" w:rsidP="007024C7">
            <w:pPr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7024C7">
              <w:rPr>
                <w:sz w:val="22"/>
                <w:szCs w:val="22"/>
              </w:rPr>
              <w:t>348.936.438,-</w:t>
            </w:r>
            <w:proofErr w:type="gramEnd"/>
            <w:r w:rsidRPr="007024C7">
              <w:rPr>
                <w:sz w:val="22"/>
                <w:szCs w:val="22"/>
              </w:rPr>
              <w:t xml:space="preserve"> Ft</w:t>
            </w:r>
          </w:p>
        </w:tc>
        <w:tc>
          <w:tcPr>
            <w:tcW w:w="1842" w:type="dxa"/>
            <w:shd w:val="clear" w:color="auto" w:fill="auto"/>
          </w:tcPr>
          <w:p w14:paraId="66AB1383" w14:textId="77777777" w:rsidR="007024C7" w:rsidRPr="007024C7" w:rsidRDefault="007024C7" w:rsidP="007024C7">
            <w:pPr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7024C7">
              <w:rPr>
                <w:sz w:val="22"/>
                <w:szCs w:val="22"/>
              </w:rPr>
              <w:t>360.793.916,-</w:t>
            </w:r>
            <w:proofErr w:type="gramEnd"/>
            <w:r w:rsidRPr="007024C7">
              <w:rPr>
                <w:sz w:val="22"/>
                <w:szCs w:val="22"/>
              </w:rPr>
              <w:t xml:space="preserve"> Ft</w:t>
            </w:r>
          </w:p>
        </w:tc>
        <w:tc>
          <w:tcPr>
            <w:tcW w:w="1844" w:type="dxa"/>
            <w:shd w:val="clear" w:color="auto" w:fill="auto"/>
          </w:tcPr>
          <w:p w14:paraId="4C187D07" w14:textId="77777777" w:rsidR="007024C7" w:rsidRPr="007024C7" w:rsidRDefault="007024C7" w:rsidP="007024C7">
            <w:pPr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7024C7">
              <w:rPr>
                <w:sz w:val="22"/>
                <w:szCs w:val="22"/>
              </w:rPr>
              <w:t>342.200.925,-</w:t>
            </w:r>
            <w:proofErr w:type="gramEnd"/>
            <w:r w:rsidRPr="007024C7">
              <w:rPr>
                <w:sz w:val="22"/>
                <w:szCs w:val="22"/>
              </w:rPr>
              <w:t xml:space="preserve"> Ft</w:t>
            </w:r>
          </w:p>
        </w:tc>
        <w:tc>
          <w:tcPr>
            <w:tcW w:w="1060" w:type="dxa"/>
            <w:shd w:val="clear" w:color="auto" w:fill="auto"/>
          </w:tcPr>
          <w:p w14:paraId="628159B8" w14:textId="77777777" w:rsidR="007024C7" w:rsidRPr="007024C7" w:rsidRDefault="007024C7" w:rsidP="007024C7">
            <w:pPr>
              <w:contextualSpacing/>
              <w:jc w:val="center"/>
              <w:rPr>
                <w:sz w:val="22"/>
                <w:szCs w:val="22"/>
              </w:rPr>
            </w:pPr>
            <w:r w:rsidRPr="007024C7">
              <w:rPr>
                <w:sz w:val="22"/>
                <w:szCs w:val="22"/>
              </w:rPr>
              <w:t xml:space="preserve"> 94,85 %</w:t>
            </w:r>
          </w:p>
        </w:tc>
      </w:tr>
    </w:tbl>
    <w:p w14:paraId="3B0A4FBB" w14:textId="77777777" w:rsidR="007024C7" w:rsidRPr="007024C7" w:rsidRDefault="007024C7" w:rsidP="007024C7">
      <w:pPr>
        <w:contextualSpacing/>
        <w:rPr>
          <w:b/>
          <w:sz w:val="22"/>
          <w:szCs w:val="22"/>
          <w:u w:val="single"/>
        </w:rPr>
      </w:pPr>
    </w:p>
    <w:p w14:paraId="15A19480" w14:textId="77777777" w:rsidR="007024C7" w:rsidRPr="007024C7" w:rsidRDefault="007024C7" w:rsidP="007024C7">
      <w:pPr>
        <w:contextualSpacing/>
        <w:jc w:val="both"/>
        <w:rPr>
          <w:sz w:val="22"/>
          <w:szCs w:val="22"/>
        </w:rPr>
      </w:pPr>
      <w:r w:rsidRPr="007024C7">
        <w:rPr>
          <w:sz w:val="22"/>
          <w:szCs w:val="22"/>
        </w:rPr>
        <w:t>Az intézmény saját bevételét 16.351.594 Ft-</w:t>
      </w:r>
      <w:r>
        <w:rPr>
          <w:sz w:val="22"/>
          <w:szCs w:val="22"/>
        </w:rPr>
        <w:t>t</w:t>
      </w:r>
      <w:r w:rsidRPr="007024C7">
        <w:rPr>
          <w:sz w:val="22"/>
          <w:szCs w:val="22"/>
        </w:rPr>
        <w:t>al alulteljesítette.</w:t>
      </w:r>
      <w:r>
        <w:rPr>
          <w:sz w:val="22"/>
          <w:szCs w:val="22"/>
        </w:rPr>
        <w:t xml:space="preserve"> A </w:t>
      </w:r>
      <w:r w:rsidRPr="007024C7">
        <w:rPr>
          <w:sz w:val="22"/>
          <w:szCs w:val="22"/>
        </w:rPr>
        <w:t xml:space="preserve">Piac bevételét a módosított előirányzathoz képest </w:t>
      </w:r>
      <w:proofErr w:type="spellStart"/>
      <w:r w:rsidRPr="007024C7">
        <w:rPr>
          <w:sz w:val="22"/>
          <w:szCs w:val="22"/>
        </w:rPr>
        <w:t>alulteljesítette</w:t>
      </w:r>
      <w:proofErr w:type="spellEnd"/>
      <w:r w:rsidRPr="007024C7">
        <w:rPr>
          <w:sz w:val="22"/>
          <w:szCs w:val="22"/>
        </w:rPr>
        <w:t xml:space="preserve"> az intézmény, elmaradás 69.228</w:t>
      </w:r>
      <w:r w:rsidR="001B7682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 xml:space="preserve">Ft, ennek </w:t>
      </w:r>
      <w:proofErr w:type="gramStart"/>
      <w:r w:rsidRPr="007024C7">
        <w:rPr>
          <w:sz w:val="22"/>
          <w:szCs w:val="22"/>
        </w:rPr>
        <w:t>megfelelően  94</w:t>
      </w:r>
      <w:proofErr w:type="gramEnd"/>
      <w:r w:rsidRPr="007024C7">
        <w:rPr>
          <w:sz w:val="22"/>
          <w:szCs w:val="22"/>
        </w:rPr>
        <w:t>,67 %-os teljesítéssel zárta az évet. Oka a COVID-19 vírushelyzet első és második hulláma is hatással volt a piaci árusokra, ennek következtében a vevőkre is.</w:t>
      </w:r>
    </w:p>
    <w:p w14:paraId="72CAA4A0" w14:textId="77777777" w:rsidR="007024C7" w:rsidRPr="007024C7" w:rsidRDefault="007024C7" w:rsidP="007024C7">
      <w:pPr>
        <w:contextualSpacing/>
        <w:jc w:val="both"/>
        <w:rPr>
          <w:sz w:val="22"/>
          <w:szCs w:val="22"/>
        </w:rPr>
      </w:pPr>
      <w:r w:rsidRPr="007024C7">
        <w:rPr>
          <w:sz w:val="22"/>
          <w:szCs w:val="22"/>
        </w:rPr>
        <w:t xml:space="preserve">Lakó és nem lakó ingatlanok bérbeadásából származó bevétel </w:t>
      </w:r>
      <w:proofErr w:type="gramStart"/>
      <w:r w:rsidRPr="007024C7">
        <w:rPr>
          <w:sz w:val="22"/>
          <w:szCs w:val="22"/>
        </w:rPr>
        <w:t>1.138.694</w:t>
      </w:r>
      <w:r w:rsidR="001B7682">
        <w:rPr>
          <w:sz w:val="22"/>
          <w:szCs w:val="22"/>
        </w:rPr>
        <w:t xml:space="preserve">  </w:t>
      </w:r>
      <w:r w:rsidRPr="007024C7">
        <w:rPr>
          <w:sz w:val="22"/>
          <w:szCs w:val="22"/>
        </w:rPr>
        <w:t>Ft</w:t>
      </w:r>
      <w:proofErr w:type="gramEnd"/>
      <w:r w:rsidRPr="007024C7">
        <w:rPr>
          <w:sz w:val="22"/>
          <w:szCs w:val="22"/>
        </w:rPr>
        <w:t>-tal elmaradt a tervezetthez képest, a teljesítés százaléka 87,61</w:t>
      </w:r>
      <w:r>
        <w:rPr>
          <w:sz w:val="22"/>
          <w:szCs w:val="22"/>
        </w:rPr>
        <w:t>%</w:t>
      </w:r>
      <w:r w:rsidRPr="007024C7">
        <w:rPr>
          <w:sz w:val="22"/>
          <w:szCs w:val="22"/>
        </w:rPr>
        <w:t>,</w:t>
      </w:r>
      <w:r>
        <w:rPr>
          <w:sz w:val="22"/>
          <w:szCs w:val="22"/>
        </w:rPr>
        <w:t xml:space="preserve"> ennek</w:t>
      </w:r>
      <w:r w:rsidRPr="007024C7">
        <w:rPr>
          <w:sz w:val="22"/>
          <w:szCs w:val="22"/>
        </w:rPr>
        <w:t xml:space="preserve"> oka</w:t>
      </w:r>
      <w:r>
        <w:rPr>
          <w:sz w:val="22"/>
          <w:szCs w:val="22"/>
        </w:rPr>
        <w:t xml:space="preserve"> az</w:t>
      </w:r>
      <w:r w:rsidRPr="007024C7">
        <w:rPr>
          <w:sz w:val="22"/>
          <w:szCs w:val="22"/>
        </w:rPr>
        <w:t>, hogy 2020</w:t>
      </w:r>
      <w:r>
        <w:rPr>
          <w:sz w:val="22"/>
          <w:szCs w:val="22"/>
        </w:rPr>
        <w:t xml:space="preserve">. </w:t>
      </w:r>
      <w:r w:rsidRPr="007024C7">
        <w:rPr>
          <w:sz w:val="22"/>
          <w:szCs w:val="22"/>
        </w:rPr>
        <w:t>évben az intézmény székhelye zárva tartott, így nem sikerült bérbe adni a Városgondnokság ebédlőjét, rendezvények (esküvők, ballagások, temetési összejövetelek) lebonyolítására.</w:t>
      </w:r>
    </w:p>
    <w:p w14:paraId="631A7BD1" w14:textId="77777777" w:rsidR="007024C7" w:rsidRPr="007024C7" w:rsidRDefault="007024C7" w:rsidP="007024C7">
      <w:pPr>
        <w:contextualSpacing/>
        <w:jc w:val="both"/>
        <w:rPr>
          <w:sz w:val="22"/>
          <w:szCs w:val="22"/>
        </w:rPr>
      </w:pPr>
      <w:r w:rsidRPr="007024C7">
        <w:rPr>
          <w:sz w:val="22"/>
          <w:szCs w:val="22"/>
        </w:rPr>
        <w:t xml:space="preserve">A szennyvízszippantó </w:t>
      </w:r>
      <w:r w:rsidR="00251AA9" w:rsidRPr="007024C7">
        <w:rPr>
          <w:sz w:val="22"/>
          <w:szCs w:val="22"/>
        </w:rPr>
        <w:t>150.942</w:t>
      </w:r>
      <w:r w:rsidR="001B7682">
        <w:rPr>
          <w:sz w:val="22"/>
          <w:szCs w:val="22"/>
        </w:rPr>
        <w:t xml:space="preserve">  </w:t>
      </w:r>
      <w:r w:rsidR="00251AA9" w:rsidRPr="007024C7">
        <w:rPr>
          <w:sz w:val="22"/>
          <w:szCs w:val="22"/>
        </w:rPr>
        <w:t xml:space="preserve"> Ft-tal </w:t>
      </w:r>
      <w:r w:rsidRPr="007024C7">
        <w:rPr>
          <w:sz w:val="22"/>
          <w:szCs w:val="22"/>
        </w:rPr>
        <w:t xml:space="preserve">túlteljesítette az éves tervet, tervteljesítési mutató 104,87 %, oka a </w:t>
      </w:r>
      <w:r w:rsidR="00251AA9">
        <w:rPr>
          <w:sz w:val="22"/>
          <w:szCs w:val="22"/>
        </w:rPr>
        <w:t>tervezettnél magasabb</w:t>
      </w:r>
      <w:r w:rsidRPr="007024C7">
        <w:rPr>
          <w:sz w:val="22"/>
          <w:szCs w:val="22"/>
        </w:rPr>
        <w:t xml:space="preserve"> igénybevétel</w:t>
      </w:r>
      <w:r w:rsidR="00251AA9">
        <w:rPr>
          <w:sz w:val="22"/>
          <w:szCs w:val="22"/>
        </w:rPr>
        <w:t xml:space="preserve">. </w:t>
      </w:r>
    </w:p>
    <w:p w14:paraId="0A0CFE22" w14:textId="77777777" w:rsidR="007024C7" w:rsidRPr="007024C7" w:rsidRDefault="0022753D" w:rsidP="007024C7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A n</w:t>
      </w:r>
      <w:r w:rsidR="007024C7" w:rsidRPr="007024C7">
        <w:rPr>
          <w:sz w:val="22"/>
          <w:szCs w:val="22"/>
        </w:rPr>
        <w:t>yilvános illemhely üzemeltetése elmaradt az eredeti tervhez képest 19.923</w:t>
      </w:r>
      <w:r w:rsidR="001B7682">
        <w:rPr>
          <w:sz w:val="22"/>
          <w:szCs w:val="22"/>
        </w:rPr>
        <w:t xml:space="preserve"> </w:t>
      </w:r>
      <w:r w:rsidR="007024C7" w:rsidRPr="007024C7">
        <w:rPr>
          <w:sz w:val="22"/>
          <w:szCs w:val="22"/>
        </w:rPr>
        <w:t>Ft-</w:t>
      </w:r>
      <w:r w:rsidR="00DC043B">
        <w:rPr>
          <w:sz w:val="22"/>
          <w:szCs w:val="22"/>
        </w:rPr>
        <w:t>t</w:t>
      </w:r>
      <w:r w:rsidR="007024C7" w:rsidRPr="007024C7">
        <w:rPr>
          <w:sz w:val="22"/>
          <w:szCs w:val="22"/>
        </w:rPr>
        <w:t>al, tervteljesítési mutató 60,15 %.</w:t>
      </w:r>
    </w:p>
    <w:p w14:paraId="2F7E25D6" w14:textId="03E43127" w:rsidR="007024C7" w:rsidRPr="007024C7" w:rsidRDefault="007024C7" w:rsidP="007024C7">
      <w:pPr>
        <w:contextualSpacing/>
        <w:jc w:val="both"/>
        <w:rPr>
          <w:sz w:val="22"/>
          <w:szCs w:val="22"/>
        </w:rPr>
      </w:pPr>
      <w:r w:rsidRPr="007024C7">
        <w:rPr>
          <w:sz w:val="22"/>
          <w:szCs w:val="22"/>
        </w:rPr>
        <w:t>A Renault teherautó bevétele</w:t>
      </w:r>
      <w:r w:rsidR="002A094C">
        <w:rPr>
          <w:sz w:val="22"/>
          <w:szCs w:val="22"/>
        </w:rPr>
        <w:t>i</w:t>
      </w:r>
      <w:r w:rsidRPr="007024C7">
        <w:rPr>
          <w:sz w:val="22"/>
          <w:szCs w:val="22"/>
        </w:rPr>
        <w:t xml:space="preserve"> az előirányzathoz viszonyítva 92.001</w:t>
      </w:r>
      <w:r w:rsidR="001B7682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>Ft-</w:t>
      </w:r>
      <w:r w:rsidR="002A094C">
        <w:rPr>
          <w:sz w:val="22"/>
          <w:szCs w:val="22"/>
        </w:rPr>
        <w:t>t</w:t>
      </w:r>
      <w:r w:rsidRPr="007024C7">
        <w:rPr>
          <w:sz w:val="22"/>
          <w:szCs w:val="22"/>
        </w:rPr>
        <w:t xml:space="preserve">al elmaradtak. Ennek, oka, hogy a teherautót ebben az évben a belterületi utak </w:t>
      </w:r>
      <w:proofErr w:type="spellStart"/>
      <w:r w:rsidRPr="007024C7">
        <w:rPr>
          <w:sz w:val="22"/>
          <w:szCs w:val="22"/>
        </w:rPr>
        <w:t>kátyúzásához</w:t>
      </w:r>
      <w:proofErr w:type="spellEnd"/>
      <w:r w:rsidRPr="007024C7">
        <w:rPr>
          <w:sz w:val="22"/>
          <w:szCs w:val="22"/>
        </w:rPr>
        <w:t xml:space="preserve"> és felújításához nem vette igénybe a vállalkozó. </w:t>
      </w:r>
      <w:r w:rsidR="002A094C">
        <w:rPr>
          <w:sz w:val="22"/>
          <w:szCs w:val="22"/>
        </w:rPr>
        <w:t xml:space="preserve">Egyéb </w:t>
      </w:r>
      <w:r w:rsidR="002A094C" w:rsidRPr="007024C7">
        <w:rPr>
          <w:sz w:val="22"/>
          <w:szCs w:val="22"/>
        </w:rPr>
        <w:t>külső megrendelés</w:t>
      </w:r>
      <w:r w:rsidR="002A094C">
        <w:rPr>
          <w:sz w:val="22"/>
          <w:szCs w:val="22"/>
        </w:rPr>
        <w:t xml:space="preserve"> n</w:t>
      </w:r>
      <w:r w:rsidRPr="007024C7">
        <w:rPr>
          <w:sz w:val="22"/>
          <w:szCs w:val="22"/>
        </w:rPr>
        <w:t xml:space="preserve">em érkezett a járművek </w:t>
      </w:r>
      <w:r w:rsidR="00BE0754">
        <w:rPr>
          <w:sz w:val="22"/>
          <w:szCs w:val="22"/>
        </w:rPr>
        <w:t>igénybevétele</w:t>
      </w:r>
      <w:r w:rsidR="002A094C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>vonatkozásá</w:t>
      </w:r>
      <w:r w:rsidR="002A094C">
        <w:rPr>
          <w:sz w:val="22"/>
          <w:szCs w:val="22"/>
        </w:rPr>
        <w:t>ban.</w:t>
      </w:r>
    </w:p>
    <w:p w14:paraId="157E4129" w14:textId="3DC40C84" w:rsidR="007024C7" w:rsidRPr="007024C7" w:rsidRDefault="007024C7" w:rsidP="007024C7">
      <w:pPr>
        <w:contextualSpacing/>
        <w:jc w:val="both"/>
        <w:rPr>
          <w:sz w:val="22"/>
          <w:szCs w:val="22"/>
        </w:rPr>
      </w:pPr>
      <w:r w:rsidRPr="007024C7">
        <w:rPr>
          <w:sz w:val="22"/>
          <w:szCs w:val="22"/>
        </w:rPr>
        <w:t>A JCB munkagép bevétele 983.628</w:t>
      </w:r>
      <w:r w:rsidR="001B7682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>Ft-</w:t>
      </w:r>
      <w:r w:rsidR="00513281">
        <w:rPr>
          <w:sz w:val="22"/>
          <w:szCs w:val="22"/>
        </w:rPr>
        <w:t>t</w:t>
      </w:r>
      <w:r w:rsidRPr="007024C7">
        <w:rPr>
          <w:sz w:val="22"/>
          <w:szCs w:val="22"/>
        </w:rPr>
        <w:t xml:space="preserve">al meghaladta a tervezett összeget, </w:t>
      </w:r>
      <w:r w:rsidR="00513281">
        <w:rPr>
          <w:sz w:val="22"/>
          <w:szCs w:val="22"/>
        </w:rPr>
        <w:t xml:space="preserve">ennek </w:t>
      </w:r>
      <w:r w:rsidRPr="007024C7">
        <w:rPr>
          <w:sz w:val="22"/>
          <w:szCs w:val="22"/>
        </w:rPr>
        <w:t>oka</w:t>
      </w:r>
      <w:r w:rsidR="00513281">
        <w:rPr>
          <w:sz w:val="22"/>
          <w:szCs w:val="22"/>
        </w:rPr>
        <w:t xml:space="preserve"> </w:t>
      </w:r>
      <w:proofErr w:type="gramStart"/>
      <w:r w:rsidR="00513281">
        <w:rPr>
          <w:sz w:val="22"/>
          <w:szCs w:val="22"/>
        </w:rPr>
        <w:t>az</w:t>
      </w:r>
      <w:proofErr w:type="gramEnd"/>
      <w:r w:rsidRPr="007024C7">
        <w:rPr>
          <w:sz w:val="22"/>
          <w:szCs w:val="22"/>
        </w:rPr>
        <w:t xml:space="preserve"> hogy a HBVSZ Zrt. több alkalommal </w:t>
      </w:r>
      <w:r w:rsidR="00393CFF" w:rsidRPr="007024C7">
        <w:rPr>
          <w:sz w:val="22"/>
          <w:szCs w:val="22"/>
        </w:rPr>
        <w:t>bérbe vette</w:t>
      </w:r>
      <w:r w:rsidRPr="007024C7">
        <w:rPr>
          <w:sz w:val="22"/>
          <w:szCs w:val="22"/>
        </w:rPr>
        <w:t xml:space="preserve"> a munkagépet a vízhálózat hibaelhárítására (csőtörés)</w:t>
      </w:r>
      <w:r w:rsidR="00513281">
        <w:rPr>
          <w:sz w:val="22"/>
          <w:szCs w:val="22"/>
        </w:rPr>
        <w:t>, tervteljesítési m</w:t>
      </w:r>
      <w:r w:rsidRPr="007024C7">
        <w:rPr>
          <w:sz w:val="22"/>
          <w:szCs w:val="22"/>
        </w:rPr>
        <w:t>utató</w:t>
      </w:r>
      <w:r w:rsidR="00513281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>198,36 %.</w:t>
      </w:r>
      <w:r w:rsidR="00815A28">
        <w:rPr>
          <w:sz w:val="22"/>
          <w:szCs w:val="22"/>
        </w:rPr>
        <w:t xml:space="preserve"> A M</w:t>
      </w:r>
      <w:r w:rsidRPr="007024C7">
        <w:rPr>
          <w:sz w:val="22"/>
          <w:szCs w:val="22"/>
        </w:rPr>
        <w:t>űhely tevékenységen tervezett bevétel</w:t>
      </w:r>
      <w:r w:rsidR="00815A28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 xml:space="preserve">szintén elmaradással zárta az évet. </w:t>
      </w:r>
    </w:p>
    <w:p w14:paraId="27968123" w14:textId="6E14C57E" w:rsidR="007024C7" w:rsidRPr="007024C7" w:rsidRDefault="007024C7" w:rsidP="007024C7">
      <w:pPr>
        <w:contextualSpacing/>
        <w:jc w:val="both"/>
        <w:rPr>
          <w:color w:val="000000"/>
          <w:sz w:val="22"/>
          <w:szCs w:val="22"/>
        </w:rPr>
      </w:pPr>
      <w:r w:rsidRPr="007024C7">
        <w:rPr>
          <w:color w:val="000000"/>
          <w:sz w:val="22"/>
          <w:szCs w:val="22"/>
        </w:rPr>
        <w:t>A strandfürdő bevétele is elmaradt a tervhez képest 115.145</w:t>
      </w:r>
      <w:r w:rsidR="001B7682">
        <w:rPr>
          <w:color w:val="000000"/>
          <w:sz w:val="22"/>
          <w:szCs w:val="22"/>
        </w:rPr>
        <w:t xml:space="preserve"> </w:t>
      </w:r>
      <w:r w:rsidRPr="007024C7">
        <w:rPr>
          <w:color w:val="000000"/>
          <w:sz w:val="22"/>
          <w:szCs w:val="22"/>
        </w:rPr>
        <w:t>Ft-</w:t>
      </w:r>
      <w:r w:rsidR="00DC043B">
        <w:rPr>
          <w:color w:val="000000"/>
          <w:sz w:val="22"/>
          <w:szCs w:val="22"/>
        </w:rPr>
        <w:t>ta</w:t>
      </w:r>
      <w:r w:rsidRPr="007024C7">
        <w:rPr>
          <w:color w:val="000000"/>
          <w:sz w:val="22"/>
          <w:szCs w:val="22"/>
        </w:rPr>
        <w:t>l, tervteljesítési mutató 99,03 %, a vendégforgalom nem érte el a tervezett létszámot, a nyitás a COVID-19 vírushelyzet következtében bizonytalan volt, és későbbre tolódott. A fürdő üzemeltetésé</w:t>
      </w:r>
      <w:r w:rsidR="00815A28">
        <w:rPr>
          <w:color w:val="000000"/>
          <w:sz w:val="22"/>
          <w:szCs w:val="22"/>
        </w:rPr>
        <w:t>hez kapcsolódóan</w:t>
      </w:r>
      <w:r w:rsidRPr="007024C7">
        <w:rPr>
          <w:color w:val="000000"/>
          <w:sz w:val="22"/>
          <w:szCs w:val="22"/>
        </w:rPr>
        <w:t xml:space="preserve"> sokkal szigorúbb hatósági követelményeket írt elő a Népegészségügyi Hivatal, melynek csak </w:t>
      </w:r>
      <w:r w:rsidR="00551C4B">
        <w:rPr>
          <w:color w:val="000000"/>
          <w:sz w:val="22"/>
          <w:szCs w:val="22"/>
        </w:rPr>
        <w:t>jelentős</w:t>
      </w:r>
      <w:r w:rsidRPr="007024C7">
        <w:rPr>
          <w:color w:val="000000"/>
          <w:sz w:val="22"/>
          <w:szCs w:val="22"/>
        </w:rPr>
        <w:t xml:space="preserve"> nehézségek árán tudott az intézmény megfelelni.</w:t>
      </w:r>
    </w:p>
    <w:p w14:paraId="53E4DAE1" w14:textId="77777777" w:rsidR="007024C7" w:rsidRPr="007024C7" w:rsidRDefault="007024C7" w:rsidP="007024C7">
      <w:pPr>
        <w:contextualSpacing/>
        <w:jc w:val="both"/>
        <w:rPr>
          <w:color w:val="000000"/>
          <w:sz w:val="22"/>
          <w:szCs w:val="22"/>
        </w:rPr>
      </w:pPr>
      <w:r w:rsidRPr="007024C7">
        <w:rPr>
          <w:color w:val="000000"/>
          <w:sz w:val="22"/>
          <w:szCs w:val="22"/>
        </w:rPr>
        <w:t>A kemping igénybevétele szintén elmaradt a tervadatokhoz viszonyítva 309.120</w:t>
      </w:r>
      <w:r w:rsidR="001B7682">
        <w:rPr>
          <w:color w:val="000000"/>
          <w:sz w:val="22"/>
          <w:szCs w:val="22"/>
        </w:rPr>
        <w:t xml:space="preserve"> </w:t>
      </w:r>
      <w:r w:rsidRPr="007024C7">
        <w:rPr>
          <w:color w:val="000000"/>
          <w:sz w:val="22"/>
          <w:szCs w:val="22"/>
        </w:rPr>
        <w:t>Ft-os tervteljesítési mutató 79,6 %, oka a kevesebb igénybevétel és a későbbi nyitás.</w:t>
      </w:r>
    </w:p>
    <w:p w14:paraId="0DADC84D" w14:textId="090EB7FF" w:rsidR="007024C7" w:rsidRPr="007024C7" w:rsidRDefault="007024C7" w:rsidP="007024C7">
      <w:pPr>
        <w:contextualSpacing/>
        <w:jc w:val="both"/>
        <w:rPr>
          <w:sz w:val="22"/>
          <w:szCs w:val="22"/>
        </w:rPr>
      </w:pPr>
      <w:r w:rsidRPr="007024C7">
        <w:rPr>
          <w:sz w:val="22"/>
          <w:szCs w:val="22"/>
        </w:rPr>
        <w:t>Az óvodai és bölcsődei étkezők ellátási díjbevétele gyermekétkezők esetében 417.596</w:t>
      </w:r>
      <w:r w:rsidR="001B7682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>Ft-</w:t>
      </w:r>
      <w:r w:rsidR="001B7682">
        <w:rPr>
          <w:sz w:val="22"/>
          <w:szCs w:val="22"/>
        </w:rPr>
        <w:t>t</w:t>
      </w:r>
      <w:r w:rsidRPr="007024C7">
        <w:rPr>
          <w:sz w:val="22"/>
          <w:szCs w:val="22"/>
        </w:rPr>
        <w:t>al elmaradt a tervezettől, oka, hogy az óvodában a COVID-19 vírushelyzet miatt a bezárás időszakában fizetős szülők nem kérték a gyermekeik részére az óvodai étkezést. A vendégétkezők térítési díjbevétele 40,46 %-os teljesítés mellett zárta az évet</w:t>
      </w:r>
      <w:r w:rsidR="00354717">
        <w:rPr>
          <w:sz w:val="22"/>
          <w:szCs w:val="22"/>
        </w:rPr>
        <w:t>, e</w:t>
      </w:r>
      <w:r w:rsidRPr="007024C7">
        <w:rPr>
          <w:sz w:val="22"/>
          <w:szCs w:val="22"/>
        </w:rPr>
        <w:t>lmaradás 2</w:t>
      </w:r>
      <w:r w:rsidR="00EE0E06">
        <w:rPr>
          <w:sz w:val="22"/>
          <w:szCs w:val="22"/>
        </w:rPr>
        <w:t>.</w:t>
      </w:r>
      <w:r w:rsidRPr="007024C7">
        <w:rPr>
          <w:sz w:val="22"/>
          <w:szCs w:val="22"/>
        </w:rPr>
        <w:t>378</w:t>
      </w:r>
      <w:r w:rsidR="00EE0E06">
        <w:rPr>
          <w:sz w:val="22"/>
          <w:szCs w:val="22"/>
        </w:rPr>
        <w:t>.</w:t>
      </w:r>
      <w:r w:rsidRPr="007024C7">
        <w:rPr>
          <w:sz w:val="22"/>
          <w:szCs w:val="22"/>
        </w:rPr>
        <w:t>408</w:t>
      </w:r>
      <w:r w:rsidR="001B7682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>Ft, mely szintén a koronavírus negatív hatása</w:t>
      </w:r>
      <w:r w:rsidR="00354717">
        <w:rPr>
          <w:sz w:val="22"/>
          <w:szCs w:val="22"/>
        </w:rPr>
        <w:t xml:space="preserve">, ezzel szemben a kiadási oldalon is </w:t>
      </w:r>
      <w:r w:rsidR="00FB0980">
        <w:rPr>
          <w:sz w:val="22"/>
          <w:szCs w:val="22"/>
        </w:rPr>
        <w:t>van</w:t>
      </w:r>
      <w:r w:rsidR="00354717">
        <w:rPr>
          <w:sz w:val="22"/>
          <w:szCs w:val="22"/>
        </w:rPr>
        <w:t xml:space="preserve"> megtakarítás, hiszen a nyersanyagköltség ezen esetekben nem jelentkezik. </w:t>
      </w:r>
      <w:r w:rsidR="00A56511">
        <w:rPr>
          <w:sz w:val="22"/>
          <w:szCs w:val="22"/>
        </w:rPr>
        <w:t xml:space="preserve"> </w:t>
      </w:r>
    </w:p>
    <w:p w14:paraId="5EE9EE4A" w14:textId="77777777" w:rsidR="007024C7" w:rsidRPr="007024C7" w:rsidRDefault="007024C7" w:rsidP="007024C7">
      <w:pPr>
        <w:shd w:val="clear" w:color="auto" w:fill="FFFFFF"/>
        <w:spacing w:before="100" w:beforeAutospacing="1" w:after="100" w:afterAutospacing="1"/>
        <w:contextualSpacing/>
        <w:jc w:val="both"/>
        <w:outlineLvl w:val="0"/>
        <w:rPr>
          <w:bCs/>
          <w:iCs/>
          <w:spacing w:val="-5"/>
          <w:kern w:val="36"/>
          <w:sz w:val="22"/>
          <w:szCs w:val="22"/>
        </w:rPr>
      </w:pPr>
      <w:r w:rsidRPr="007024C7">
        <w:rPr>
          <w:bCs/>
          <w:kern w:val="36"/>
          <w:sz w:val="22"/>
          <w:szCs w:val="22"/>
        </w:rPr>
        <w:t>Az iskolai étkezési térítési díj bevétel gyermek étkezők tekintetében 2.696.295</w:t>
      </w:r>
      <w:r w:rsidR="001B7682">
        <w:rPr>
          <w:bCs/>
          <w:kern w:val="36"/>
          <w:sz w:val="22"/>
          <w:szCs w:val="22"/>
        </w:rPr>
        <w:t xml:space="preserve"> </w:t>
      </w:r>
      <w:r w:rsidRPr="007024C7">
        <w:rPr>
          <w:bCs/>
          <w:kern w:val="36"/>
          <w:sz w:val="22"/>
          <w:szCs w:val="22"/>
        </w:rPr>
        <w:t>Ft-</w:t>
      </w:r>
      <w:r w:rsidR="00FB0980">
        <w:rPr>
          <w:bCs/>
          <w:kern w:val="36"/>
          <w:sz w:val="22"/>
          <w:szCs w:val="22"/>
        </w:rPr>
        <w:t>t</w:t>
      </w:r>
      <w:r w:rsidRPr="007024C7">
        <w:rPr>
          <w:bCs/>
          <w:kern w:val="36"/>
          <w:sz w:val="22"/>
          <w:szCs w:val="22"/>
        </w:rPr>
        <w:t>al, gimnáziumi tanulók esetében 193.748</w:t>
      </w:r>
      <w:r w:rsidR="001B7682">
        <w:rPr>
          <w:bCs/>
          <w:kern w:val="36"/>
          <w:sz w:val="22"/>
          <w:szCs w:val="22"/>
        </w:rPr>
        <w:t xml:space="preserve"> </w:t>
      </w:r>
      <w:r w:rsidRPr="007024C7">
        <w:rPr>
          <w:bCs/>
          <w:kern w:val="36"/>
          <w:sz w:val="22"/>
          <w:szCs w:val="22"/>
        </w:rPr>
        <w:t>Ft-</w:t>
      </w:r>
      <w:r w:rsidR="00FB0980">
        <w:rPr>
          <w:bCs/>
          <w:kern w:val="36"/>
          <w:sz w:val="22"/>
          <w:szCs w:val="22"/>
        </w:rPr>
        <w:t>t</w:t>
      </w:r>
      <w:r w:rsidRPr="007024C7">
        <w:rPr>
          <w:bCs/>
          <w:kern w:val="36"/>
          <w:sz w:val="22"/>
          <w:szCs w:val="22"/>
        </w:rPr>
        <w:t xml:space="preserve">al elmaradt az eredetileg betervezett </w:t>
      </w:r>
      <w:r w:rsidR="00FB0980">
        <w:rPr>
          <w:bCs/>
          <w:kern w:val="36"/>
          <w:sz w:val="22"/>
          <w:szCs w:val="22"/>
        </w:rPr>
        <w:t>elirányzattól</w:t>
      </w:r>
      <w:r w:rsidRPr="007024C7">
        <w:rPr>
          <w:bCs/>
          <w:kern w:val="36"/>
          <w:sz w:val="22"/>
          <w:szCs w:val="22"/>
        </w:rPr>
        <w:t>.</w:t>
      </w:r>
      <w:r w:rsidR="00FB0980">
        <w:rPr>
          <w:bCs/>
          <w:kern w:val="36"/>
          <w:sz w:val="22"/>
          <w:szCs w:val="22"/>
        </w:rPr>
        <w:t xml:space="preserve"> A v</w:t>
      </w:r>
      <w:r w:rsidRPr="007024C7">
        <w:rPr>
          <w:bCs/>
          <w:kern w:val="36"/>
          <w:sz w:val="22"/>
          <w:szCs w:val="22"/>
        </w:rPr>
        <w:t>endég étkezőket figyelembe véve az elmaradt étkezési térítési díjbevétel 945.968</w:t>
      </w:r>
      <w:r w:rsidR="001B7682">
        <w:rPr>
          <w:bCs/>
          <w:kern w:val="36"/>
          <w:sz w:val="22"/>
          <w:szCs w:val="22"/>
        </w:rPr>
        <w:t xml:space="preserve"> </w:t>
      </w:r>
      <w:r w:rsidRPr="007024C7">
        <w:rPr>
          <w:bCs/>
          <w:kern w:val="36"/>
          <w:sz w:val="22"/>
          <w:szCs w:val="22"/>
        </w:rPr>
        <w:t>Ft.</w:t>
      </w:r>
      <w:r w:rsidRPr="007024C7">
        <w:rPr>
          <w:bCs/>
          <w:iCs/>
          <w:spacing w:val="-5"/>
          <w:kern w:val="36"/>
          <w:sz w:val="22"/>
          <w:szCs w:val="22"/>
        </w:rPr>
        <w:t xml:space="preserve"> Ennek a konyhának   bevételi elmaradása is a vírushelyzet negatív hatása. </w:t>
      </w:r>
      <w:r w:rsidR="00FB0980">
        <w:rPr>
          <w:bCs/>
          <w:kern w:val="36"/>
          <w:sz w:val="22"/>
          <w:szCs w:val="22"/>
        </w:rPr>
        <w:t>A</w:t>
      </w:r>
      <w:r w:rsidRPr="007024C7">
        <w:rPr>
          <w:bCs/>
          <w:kern w:val="36"/>
          <w:sz w:val="22"/>
          <w:szCs w:val="22"/>
        </w:rPr>
        <w:t xml:space="preserve">z iskola konyha feladata a </w:t>
      </w:r>
      <w:r w:rsidR="00FB0980">
        <w:rPr>
          <w:bCs/>
          <w:kern w:val="36"/>
          <w:sz w:val="22"/>
          <w:szCs w:val="22"/>
        </w:rPr>
        <w:t xml:space="preserve">tanév közbeni ellátás mellett a </w:t>
      </w:r>
      <w:proofErr w:type="spellStart"/>
      <w:r w:rsidRPr="007024C7">
        <w:rPr>
          <w:bCs/>
          <w:kern w:val="36"/>
          <w:sz w:val="22"/>
          <w:szCs w:val="22"/>
        </w:rPr>
        <w:t>szünidei</w:t>
      </w:r>
      <w:proofErr w:type="spellEnd"/>
      <w:r w:rsidRPr="007024C7">
        <w:rPr>
          <w:bCs/>
          <w:kern w:val="36"/>
          <w:sz w:val="22"/>
          <w:szCs w:val="22"/>
        </w:rPr>
        <w:t xml:space="preserve"> gyermekétkeztetés </w:t>
      </w:r>
      <w:r w:rsidR="00FB0980">
        <w:rPr>
          <w:bCs/>
          <w:kern w:val="36"/>
          <w:sz w:val="22"/>
          <w:szCs w:val="22"/>
        </w:rPr>
        <w:t>biztosítása</w:t>
      </w:r>
      <w:r w:rsidRPr="007024C7">
        <w:rPr>
          <w:bCs/>
          <w:kern w:val="36"/>
          <w:sz w:val="22"/>
          <w:szCs w:val="22"/>
        </w:rPr>
        <w:t xml:space="preserve"> is, mely 100 %-ban finanszírozásra kerül. A szünetek időszakában 146 gyermek számára biztosítottak napi egyszeri meleg étkezést.</w:t>
      </w:r>
    </w:p>
    <w:p w14:paraId="4F676F30" w14:textId="77777777" w:rsidR="007024C7" w:rsidRPr="007024C7" w:rsidRDefault="007024C7" w:rsidP="007024C7">
      <w:pPr>
        <w:contextualSpacing/>
        <w:jc w:val="both"/>
        <w:rPr>
          <w:sz w:val="22"/>
          <w:szCs w:val="22"/>
        </w:rPr>
      </w:pPr>
      <w:r w:rsidRPr="007024C7">
        <w:rPr>
          <w:sz w:val="22"/>
          <w:szCs w:val="22"/>
        </w:rPr>
        <w:t>A szociálisan rászoruló étkezők szolgáltatási díjbevétele 6.497.021</w:t>
      </w:r>
      <w:r w:rsidR="001B7682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>Ft-</w:t>
      </w:r>
      <w:r w:rsidR="00DC043B">
        <w:rPr>
          <w:sz w:val="22"/>
          <w:szCs w:val="22"/>
        </w:rPr>
        <w:t>t</w:t>
      </w:r>
      <w:r w:rsidRPr="007024C7">
        <w:rPr>
          <w:sz w:val="22"/>
          <w:szCs w:val="22"/>
        </w:rPr>
        <w:t xml:space="preserve">al elmaradt a tervezetthez képest, mivel éves szinten csökkent az étkezést </w:t>
      </w:r>
      <w:proofErr w:type="spellStart"/>
      <w:r w:rsidRPr="007024C7">
        <w:rPr>
          <w:sz w:val="22"/>
          <w:szCs w:val="22"/>
        </w:rPr>
        <w:t>igénybevők</w:t>
      </w:r>
      <w:proofErr w:type="spellEnd"/>
      <w:r w:rsidRPr="007024C7">
        <w:rPr>
          <w:sz w:val="22"/>
          <w:szCs w:val="22"/>
        </w:rPr>
        <w:t xml:space="preserve"> </w:t>
      </w:r>
      <w:proofErr w:type="gramStart"/>
      <w:r w:rsidRPr="007024C7">
        <w:rPr>
          <w:sz w:val="22"/>
          <w:szCs w:val="22"/>
        </w:rPr>
        <w:t>száma,  mutató</w:t>
      </w:r>
      <w:proofErr w:type="gramEnd"/>
      <w:r w:rsidRPr="007024C7">
        <w:rPr>
          <w:sz w:val="22"/>
          <w:szCs w:val="22"/>
        </w:rPr>
        <w:t xml:space="preserve"> 87,37 %. A szociális konyhán a vendég étkezők térítési díja a tervekhez képest 8.939</w:t>
      </w:r>
      <w:r w:rsidR="001B7682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>Ft-</w:t>
      </w:r>
      <w:r w:rsidR="00C01AA5">
        <w:rPr>
          <w:sz w:val="22"/>
          <w:szCs w:val="22"/>
        </w:rPr>
        <w:t>t</w:t>
      </w:r>
      <w:r w:rsidRPr="007024C7">
        <w:rPr>
          <w:sz w:val="22"/>
          <w:szCs w:val="22"/>
        </w:rPr>
        <w:t xml:space="preserve">al túlteljesítette a tervezett összeget, </w:t>
      </w:r>
      <w:r w:rsidR="00C01AA5">
        <w:rPr>
          <w:sz w:val="22"/>
          <w:szCs w:val="22"/>
        </w:rPr>
        <w:t>tervteljesítési mutató</w:t>
      </w:r>
      <w:r w:rsidRPr="007024C7">
        <w:rPr>
          <w:sz w:val="22"/>
          <w:szCs w:val="22"/>
        </w:rPr>
        <w:t xml:space="preserve"> 100,82 %.</w:t>
      </w:r>
      <w:r w:rsidR="00503B32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 xml:space="preserve">A kiszámlázott általános forgalmi adó teljesítése </w:t>
      </w:r>
      <w:proofErr w:type="gramStart"/>
      <w:r w:rsidRPr="007024C7">
        <w:rPr>
          <w:sz w:val="22"/>
          <w:szCs w:val="22"/>
        </w:rPr>
        <w:t>3.599.122</w:t>
      </w:r>
      <w:r w:rsidR="001B7682">
        <w:rPr>
          <w:sz w:val="22"/>
          <w:szCs w:val="22"/>
        </w:rPr>
        <w:t xml:space="preserve">  </w:t>
      </w:r>
      <w:r w:rsidRPr="007024C7">
        <w:rPr>
          <w:sz w:val="22"/>
          <w:szCs w:val="22"/>
        </w:rPr>
        <w:t>Ft</w:t>
      </w:r>
      <w:proofErr w:type="gramEnd"/>
      <w:r w:rsidRPr="007024C7">
        <w:rPr>
          <w:sz w:val="22"/>
          <w:szCs w:val="22"/>
        </w:rPr>
        <w:t>-</w:t>
      </w:r>
      <w:r w:rsidR="00503B32">
        <w:rPr>
          <w:sz w:val="22"/>
          <w:szCs w:val="22"/>
        </w:rPr>
        <w:t>t</w:t>
      </w:r>
      <w:r w:rsidRPr="007024C7">
        <w:rPr>
          <w:sz w:val="22"/>
          <w:szCs w:val="22"/>
        </w:rPr>
        <w:t>al elmaradt a terv</w:t>
      </w:r>
      <w:r w:rsidR="004D397A">
        <w:rPr>
          <w:sz w:val="22"/>
          <w:szCs w:val="22"/>
        </w:rPr>
        <w:t>ezettől</w:t>
      </w:r>
      <w:r w:rsidRPr="007024C7">
        <w:rPr>
          <w:sz w:val="22"/>
          <w:szCs w:val="22"/>
        </w:rPr>
        <w:t>, oka a</w:t>
      </w:r>
      <w:r w:rsidR="00503B32">
        <w:rPr>
          <w:sz w:val="22"/>
          <w:szCs w:val="22"/>
        </w:rPr>
        <w:t>z adóköteles</w:t>
      </w:r>
      <w:r w:rsidRPr="007024C7">
        <w:rPr>
          <w:sz w:val="22"/>
          <w:szCs w:val="22"/>
        </w:rPr>
        <w:t xml:space="preserve"> bevétel</w:t>
      </w:r>
      <w:r w:rsidR="00503B32">
        <w:rPr>
          <w:sz w:val="22"/>
          <w:szCs w:val="22"/>
        </w:rPr>
        <w:t xml:space="preserve">ek </w:t>
      </w:r>
      <w:r w:rsidRPr="007024C7">
        <w:rPr>
          <w:sz w:val="22"/>
          <w:szCs w:val="22"/>
        </w:rPr>
        <w:t>elmaradá</w:t>
      </w:r>
      <w:r w:rsidR="00503B32">
        <w:rPr>
          <w:sz w:val="22"/>
          <w:szCs w:val="22"/>
        </w:rPr>
        <w:t xml:space="preserve">sa. </w:t>
      </w:r>
    </w:p>
    <w:p w14:paraId="4E216A44" w14:textId="77777777" w:rsidR="007024C7" w:rsidRPr="007024C7" w:rsidRDefault="004D397A" w:rsidP="007024C7">
      <w:pPr>
        <w:contextualSpacing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A m</w:t>
      </w:r>
      <w:r w:rsidR="007024C7" w:rsidRPr="007024C7">
        <w:rPr>
          <w:sz w:val="22"/>
          <w:szCs w:val="22"/>
        </w:rPr>
        <w:t xml:space="preserve">űködési célú támogatásértékű bevétel elkülönített állami pénzalaptól a módosított előirányzathoz </w:t>
      </w:r>
      <w:proofErr w:type="gramStart"/>
      <w:r w:rsidR="007024C7" w:rsidRPr="007024C7">
        <w:rPr>
          <w:sz w:val="22"/>
          <w:szCs w:val="22"/>
        </w:rPr>
        <w:t>képest  1.807.261</w:t>
      </w:r>
      <w:proofErr w:type="gramEnd"/>
      <w:r w:rsidR="001B7682">
        <w:rPr>
          <w:sz w:val="22"/>
          <w:szCs w:val="22"/>
        </w:rPr>
        <w:t xml:space="preserve"> </w:t>
      </w:r>
      <w:r w:rsidR="007024C7" w:rsidRPr="007024C7">
        <w:rPr>
          <w:sz w:val="22"/>
          <w:szCs w:val="22"/>
        </w:rPr>
        <w:t>Ft-</w:t>
      </w:r>
      <w:r>
        <w:rPr>
          <w:sz w:val="22"/>
          <w:szCs w:val="22"/>
        </w:rPr>
        <w:t>t</w:t>
      </w:r>
      <w:r w:rsidR="007024C7" w:rsidRPr="007024C7">
        <w:rPr>
          <w:sz w:val="22"/>
          <w:szCs w:val="22"/>
        </w:rPr>
        <w:t>al tér el,</w:t>
      </w:r>
      <w:r>
        <w:rPr>
          <w:sz w:val="22"/>
          <w:szCs w:val="22"/>
        </w:rPr>
        <w:t xml:space="preserve"> ennek</w:t>
      </w:r>
      <w:r w:rsidR="007024C7" w:rsidRPr="007024C7">
        <w:rPr>
          <w:sz w:val="22"/>
          <w:szCs w:val="22"/>
        </w:rPr>
        <w:t xml:space="preserve"> oka</w:t>
      </w:r>
      <w:r>
        <w:rPr>
          <w:sz w:val="22"/>
          <w:szCs w:val="22"/>
        </w:rPr>
        <w:t xml:space="preserve"> az</w:t>
      </w:r>
      <w:r w:rsidR="007024C7" w:rsidRPr="007024C7">
        <w:rPr>
          <w:sz w:val="22"/>
          <w:szCs w:val="22"/>
        </w:rPr>
        <w:t>, hogy az év folyamán  több dolgozó táppénzes állományba került, melynek összegét a Munkaügyi központ nem finanszírozza le, illetve a közfoglalkoztatotti</w:t>
      </w:r>
      <w:r>
        <w:rPr>
          <w:sz w:val="22"/>
          <w:szCs w:val="22"/>
        </w:rPr>
        <w:t xml:space="preserve"> </w:t>
      </w:r>
      <w:r w:rsidR="007024C7" w:rsidRPr="007024C7">
        <w:rPr>
          <w:sz w:val="22"/>
          <w:szCs w:val="22"/>
        </w:rPr>
        <w:lastRenderedPageBreak/>
        <w:t>állomány nagymértékű fluktuációja miatt, az álláshelyeket a megüresedést követően azonnal nem sikerült betölteni.</w:t>
      </w:r>
    </w:p>
    <w:p w14:paraId="72F686C5" w14:textId="77777777" w:rsidR="00E01B88" w:rsidRPr="00B463BA" w:rsidRDefault="007024C7" w:rsidP="00E01B88">
      <w:pPr>
        <w:contextualSpacing/>
        <w:jc w:val="both"/>
        <w:rPr>
          <w:color w:val="000000"/>
          <w:sz w:val="22"/>
          <w:szCs w:val="22"/>
        </w:rPr>
      </w:pPr>
      <w:r w:rsidRPr="007024C7">
        <w:rPr>
          <w:sz w:val="22"/>
          <w:szCs w:val="22"/>
        </w:rPr>
        <w:t>A személyi juttatás és járulékainak eredeti előirányzata 129.231.330 Ft, módosított előirányzat: 138.575.228</w:t>
      </w:r>
      <w:r w:rsidR="001B7682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>Ft</w:t>
      </w:r>
      <w:r w:rsidR="00DC043B">
        <w:rPr>
          <w:sz w:val="22"/>
          <w:szCs w:val="22"/>
        </w:rPr>
        <w:t xml:space="preserve">, </w:t>
      </w:r>
      <w:r w:rsidRPr="007024C7">
        <w:rPr>
          <w:sz w:val="22"/>
          <w:szCs w:val="22"/>
        </w:rPr>
        <w:t>a teljesítés: 135.571.847</w:t>
      </w:r>
      <w:r w:rsidR="001B7682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>Ft, eltérés: 3.003.381</w:t>
      </w:r>
      <w:r w:rsidR="001B7682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 xml:space="preserve">Ft, tervteljesítési mutató: 97,83 %, </w:t>
      </w:r>
      <w:r w:rsidR="00A94E9B" w:rsidRPr="00B463BA">
        <w:rPr>
          <w:color w:val="000000"/>
          <w:sz w:val="22"/>
          <w:szCs w:val="22"/>
        </w:rPr>
        <w:t>A</w:t>
      </w:r>
      <w:r w:rsidR="00E01B88" w:rsidRPr="00B463BA">
        <w:rPr>
          <w:color w:val="000000"/>
          <w:sz w:val="22"/>
          <w:szCs w:val="22"/>
        </w:rPr>
        <w:t xml:space="preserve"> bérmegtakarítás egyrészt a huzamosabb idejű táppénzekből, a közfoglalkoztatottak nagymértékű fluktuációjából, másrészt a közalkalmazotti betöltetlen álláshelyek bérmegtakarítási összegéből keletkezett.</w:t>
      </w:r>
    </w:p>
    <w:p w14:paraId="769D2C1F" w14:textId="77777777" w:rsidR="007024C7" w:rsidRPr="007024C7" w:rsidRDefault="007024C7" w:rsidP="007024C7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A j</w:t>
      </w:r>
      <w:r w:rsidRPr="007024C7">
        <w:rPr>
          <w:sz w:val="22"/>
          <w:szCs w:val="22"/>
        </w:rPr>
        <w:t>árulék</w:t>
      </w:r>
      <w:r>
        <w:rPr>
          <w:sz w:val="22"/>
          <w:szCs w:val="22"/>
        </w:rPr>
        <w:t xml:space="preserve">ok </w:t>
      </w:r>
      <w:r w:rsidRPr="007024C7">
        <w:rPr>
          <w:sz w:val="22"/>
          <w:szCs w:val="22"/>
        </w:rPr>
        <w:t>eredeti előirányzata 22.366.010 Ft, módosított előirányzat: 21.913.392</w:t>
      </w:r>
      <w:r w:rsidR="001B7682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 xml:space="preserve">Ft </w:t>
      </w:r>
      <w:proofErr w:type="gramStart"/>
      <w:r w:rsidRPr="007024C7">
        <w:rPr>
          <w:sz w:val="22"/>
          <w:szCs w:val="22"/>
        </w:rPr>
        <w:t>a  teljesítés</w:t>
      </w:r>
      <w:proofErr w:type="gramEnd"/>
      <w:r w:rsidRPr="007024C7">
        <w:rPr>
          <w:sz w:val="22"/>
          <w:szCs w:val="22"/>
        </w:rPr>
        <w:t>: 21.282.384</w:t>
      </w:r>
      <w:r w:rsidR="001B7682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>Ft,  eltérés: 631.008</w:t>
      </w:r>
      <w:r w:rsidR="001B7682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 xml:space="preserve">Ft, tervteljesítési mutató: 97,12 %. </w:t>
      </w:r>
    </w:p>
    <w:p w14:paraId="06B2AB82" w14:textId="77777777" w:rsidR="007024C7" w:rsidRPr="007024C7" w:rsidRDefault="007024C7" w:rsidP="007024C7">
      <w:pPr>
        <w:contextualSpacing/>
        <w:jc w:val="both"/>
        <w:outlineLvl w:val="0"/>
        <w:rPr>
          <w:sz w:val="22"/>
          <w:szCs w:val="22"/>
        </w:rPr>
      </w:pPr>
      <w:r w:rsidRPr="007024C7">
        <w:rPr>
          <w:sz w:val="22"/>
          <w:szCs w:val="22"/>
        </w:rPr>
        <w:t xml:space="preserve">Az elvégzendő karbantartási feladatokhoz a költségvetésben céltartalék keretében elkülönített </w:t>
      </w:r>
      <w:proofErr w:type="gramStart"/>
      <w:r w:rsidRPr="007024C7">
        <w:rPr>
          <w:sz w:val="22"/>
          <w:szCs w:val="22"/>
        </w:rPr>
        <w:t>9.300.000</w:t>
      </w:r>
      <w:r w:rsidR="001B7682">
        <w:rPr>
          <w:sz w:val="22"/>
          <w:szCs w:val="22"/>
        </w:rPr>
        <w:t xml:space="preserve">  </w:t>
      </w:r>
      <w:r w:rsidRPr="007024C7">
        <w:rPr>
          <w:sz w:val="22"/>
          <w:szCs w:val="22"/>
        </w:rPr>
        <w:t>Ft</w:t>
      </w:r>
      <w:proofErr w:type="gramEnd"/>
      <w:r w:rsidRPr="007024C7">
        <w:rPr>
          <w:sz w:val="22"/>
          <w:szCs w:val="22"/>
        </w:rPr>
        <w:t xml:space="preserve"> áll rendelkezésre, melynek az éves igénybevételét a 11.sz. táblázat részletesen tartalmazza. </w:t>
      </w:r>
    </w:p>
    <w:p w14:paraId="0F6A52A7" w14:textId="77777777" w:rsidR="007024C7" w:rsidRPr="007024C7" w:rsidRDefault="007024C7" w:rsidP="007024C7">
      <w:pPr>
        <w:contextualSpacing/>
        <w:jc w:val="both"/>
        <w:outlineLvl w:val="0"/>
        <w:rPr>
          <w:sz w:val="22"/>
          <w:szCs w:val="22"/>
        </w:rPr>
      </w:pPr>
      <w:r w:rsidRPr="007024C7">
        <w:rPr>
          <w:sz w:val="22"/>
          <w:szCs w:val="22"/>
        </w:rPr>
        <w:t>Dologi kiadásaikat 14.732.871</w:t>
      </w:r>
      <w:r w:rsidR="001B7682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 xml:space="preserve">Ft-tal </w:t>
      </w:r>
      <w:proofErr w:type="spellStart"/>
      <w:r w:rsidRPr="007024C7">
        <w:rPr>
          <w:sz w:val="22"/>
          <w:szCs w:val="22"/>
        </w:rPr>
        <w:t>alulteljesítette</w:t>
      </w:r>
      <w:proofErr w:type="spellEnd"/>
      <w:r w:rsidRPr="007024C7">
        <w:rPr>
          <w:sz w:val="22"/>
          <w:szCs w:val="22"/>
        </w:rPr>
        <w:t xml:space="preserve"> az intézmény a tervhez képest, tervteljesítési mutató 92,49 %. </w:t>
      </w:r>
    </w:p>
    <w:p w14:paraId="7CF17B86" w14:textId="77777777" w:rsidR="007024C7" w:rsidRPr="007024C7" w:rsidRDefault="007024C7" w:rsidP="007024C7">
      <w:pPr>
        <w:contextualSpacing/>
        <w:jc w:val="both"/>
        <w:outlineLvl w:val="0"/>
        <w:rPr>
          <w:sz w:val="22"/>
          <w:szCs w:val="22"/>
        </w:rPr>
      </w:pPr>
      <w:r w:rsidRPr="007024C7">
        <w:rPr>
          <w:sz w:val="22"/>
          <w:szCs w:val="22"/>
        </w:rPr>
        <w:t>Közüzemi díjak költségei között a villamos energia szolgáltatási díja a módosított előirányzathoz képest 141.754</w:t>
      </w:r>
      <w:r w:rsidR="001B7682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>Ft megtakarítással zárta az évet, mutató 97,51 %.</w:t>
      </w:r>
    </w:p>
    <w:p w14:paraId="571CBFFC" w14:textId="77777777" w:rsidR="007024C7" w:rsidRPr="007024C7" w:rsidRDefault="007024C7" w:rsidP="007024C7">
      <w:pPr>
        <w:contextualSpacing/>
        <w:jc w:val="both"/>
        <w:outlineLvl w:val="0"/>
        <w:rPr>
          <w:sz w:val="22"/>
          <w:szCs w:val="22"/>
        </w:rPr>
      </w:pPr>
      <w:r w:rsidRPr="007024C7">
        <w:rPr>
          <w:sz w:val="22"/>
          <w:szCs w:val="22"/>
        </w:rPr>
        <w:t>A gázenergia díjak során ebben az évben a kapacitásdíj nagymértékben megnövelte a kiadásokat, így a módosított előirányzathoz képest is túlteljesítette a tervet 334.370</w:t>
      </w:r>
      <w:r w:rsidR="001B7682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>Ft-</w:t>
      </w:r>
      <w:r w:rsidR="001B7682">
        <w:rPr>
          <w:sz w:val="22"/>
          <w:szCs w:val="22"/>
        </w:rPr>
        <w:t>t</w:t>
      </w:r>
      <w:r w:rsidRPr="007024C7">
        <w:rPr>
          <w:sz w:val="22"/>
          <w:szCs w:val="22"/>
        </w:rPr>
        <w:t>al.</w:t>
      </w:r>
    </w:p>
    <w:p w14:paraId="04FE0D94" w14:textId="77777777" w:rsidR="007024C7" w:rsidRPr="007024C7" w:rsidRDefault="007024C7" w:rsidP="007024C7">
      <w:pPr>
        <w:contextualSpacing/>
        <w:jc w:val="both"/>
        <w:outlineLvl w:val="0"/>
        <w:rPr>
          <w:sz w:val="22"/>
          <w:szCs w:val="22"/>
        </w:rPr>
      </w:pPr>
      <w:r w:rsidRPr="007024C7">
        <w:rPr>
          <w:sz w:val="22"/>
          <w:szCs w:val="22"/>
        </w:rPr>
        <w:t xml:space="preserve">A víz-és csatornadíj kiadás soron a fürdő </w:t>
      </w:r>
      <w:proofErr w:type="spellStart"/>
      <w:r w:rsidRPr="007024C7">
        <w:rPr>
          <w:sz w:val="22"/>
          <w:szCs w:val="22"/>
        </w:rPr>
        <w:t>vízelfolyása</w:t>
      </w:r>
      <w:proofErr w:type="spellEnd"/>
      <w:r w:rsidRPr="007024C7">
        <w:rPr>
          <w:sz w:val="22"/>
          <w:szCs w:val="22"/>
        </w:rPr>
        <w:t xml:space="preserve"> miatt módosítani kellett az előirányzatot 2.527.567</w:t>
      </w:r>
      <w:r w:rsidR="001B7682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>Ft-</w:t>
      </w:r>
      <w:r w:rsidR="001B7682">
        <w:rPr>
          <w:sz w:val="22"/>
          <w:szCs w:val="22"/>
        </w:rPr>
        <w:t>t</w:t>
      </w:r>
      <w:r w:rsidRPr="007024C7">
        <w:rPr>
          <w:sz w:val="22"/>
          <w:szCs w:val="22"/>
        </w:rPr>
        <w:t xml:space="preserve">al. </w:t>
      </w:r>
    </w:p>
    <w:p w14:paraId="215B90E1" w14:textId="5D92D1B1" w:rsidR="007024C7" w:rsidRPr="007024C7" w:rsidRDefault="007024C7" w:rsidP="007024C7">
      <w:pPr>
        <w:contextualSpacing/>
        <w:jc w:val="both"/>
        <w:outlineLvl w:val="0"/>
        <w:rPr>
          <w:sz w:val="22"/>
          <w:szCs w:val="22"/>
        </w:rPr>
      </w:pPr>
      <w:r w:rsidRPr="007024C7">
        <w:rPr>
          <w:sz w:val="22"/>
          <w:szCs w:val="22"/>
        </w:rPr>
        <w:t xml:space="preserve">Élelmiszer kiadásokra fordított eredeti </w:t>
      </w:r>
      <w:proofErr w:type="spellStart"/>
      <w:r w:rsidRPr="007024C7">
        <w:rPr>
          <w:sz w:val="22"/>
          <w:szCs w:val="22"/>
        </w:rPr>
        <w:t>ei</w:t>
      </w:r>
      <w:proofErr w:type="spellEnd"/>
      <w:r w:rsidR="00EE0E06">
        <w:rPr>
          <w:sz w:val="22"/>
          <w:szCs w:val="22"/>
        </w:rPr>
        <w:t>.</w:t>
      </w:r>
      <w:r w:rsidRPr="007024C7">
        <w:rPr>
          <w:sz w:val="22"/>
          <w:szCs w:val="22"/>
        </w:rPr>
        <w:t xml:space="preserve">: 84.371.640Ft, módosított </w:t>
      </w:r>
      <w:proofErr w:type="spellStart"/>
      <w:r w:rsidRPr="007024C7">
        <w:rPr>
          <w:sz w:val="22"/>
          <w:szCs w:val="22"/>
        </w:rPr>
        <w:t>ei</w:t>
      </w:r>
      <w:proofErr w:type="spellEnd"/>
      <w:r w:rsidRPr="007024C7">
        <w:rPr>
          <w:sz w:val="22"/>
          <w:szCs w:val="22"/>
        </w:rPr>
        <w:t>.: 76.730.00</w:t>
      </w:r>
      <w:r w:rsidR="001B7682">
        <w:rPr>
          <w:sz w:val="22"/>
          <w:szCs w:val="22"/>
        </w:rPr>
        <w:t>0</w:t>
      </w:r>
      <w:r w:rsidRPr="007024C7">
        <w:rPr>
          <w:sz w:val="22"/>
          <w:szCs w:val="22"/>
        </w:rPr>
        <w:t>Ft teljesítés 68.329.454</w:t>
      </w:r>
      <w:r w:rsidR="001B7682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>Ft, oka az étkezők (gyermek –</w:t>
      </w:r>
      <w:proofErr w:type="spellStart"/>
      <w:proofErr w:type="gramStart"/>
      <w:r w:rsidRPr="007024C7">
        <w:rPr>
          <w:sz w:val="22"/>
          <w:szCs w:val="22"/>
        </w:rPr>
        <w:t>óvodás,iskolás</w:t>
      </w:r>
      <w:proofErr w:type="spellEnd"/>
      <w:proofErr w:type="gramEnd"/>
      <w:r w:rsidRPr="007024C7">
        <w:rPr>
          <w:sz w:val="22"/>
          <w:szCs w:val="22"/>
        </w:rPr>
        <w:t xml:space="preserve">-, szociális, és vendég) nem a tervezettek szerint vették igénybe az szolgáltatást. </w:t>
      </w:r>
    </w:p>
    <w:p w14:paraId="50D1BE5C" w14:textId="77777777" w:rsidR="007024C7" w:rsidRPr="007024C7" w:rsidRDefault="007024C7" w:rsidP="007024C7">
      <w:pPr>
        <w:contextualSpacing/>
        <w:jc w:val="both"/>
        <w:outlineLvl w:val="0"/>
        <w:rPr>
          <w:sz w:val="22"/>
          <w:szCs w:val="22"/>
        </w:rPr>
      </w:pPr>
      <w:r w:rsidRPr="007024C7">
        <w:rPr>
          <w:sz w:val="22"/>
          <w:szCs w:val="22"/>
        </w:rPr>
        <w:t xml:space="preserve">A hajtó-és kenőanyag kiadás </w:t>
      </w:r>
      <w:proofErr w:type="spellStart"/>
      <w:r w:rsidRPr="007024C7">
        <w:rPr>
          <w:sz w:val="22"/>
          <w:szCs w:val="22"/>
        </w:rPr>
        <w:t>alulteljesítéssel</w:t>
      </w:r>
      <w:proofErr w:type="spellEnd"/>
      <w:r w:rsidRPr="007024C7">
        <w:rPr>
          <w:sz w:val="22"/>
          <w:szCs w:val="22"/>
        </w:rPr>
        <w:t xml:space="preserve"> zárta az évet 686.271Ft, (mutató: 86,65 %). Oka a RENAULT tehergépjárműre betervezett üzemanyag felhasználás elmaradása.</w:t>
      </w:r>
    </w:p>
    <w:p w14:paraId="1980B939" w14:textId="77777777" w:rsidR="007024C7" w:rsidRPr="007024C7" w:rsidRDefault="007024C7" w:rsidP="007024C7">
      <w:pPr>
        <w:contextualSpacing/>
        <w:jc w:val="both"/>
        <w:outlineLvl w:val="0"/>
        <w:rPr>
          <w:sz w:val="22"/>
          <w:szCs w:val="22"/>
        </w:rPr>
      </w:pPr>
      <w:r w:rsidRPr="007024C7">
        <w:rPr>
          <w:sz w:val="22"/>
          <w:szCs w:val="22"/>
        </w:rPr>
        <w:t>Tisztítószer beszerzés</w:t>
      </w:r>
      <w:r w:rsidR="001B7682">
        <w:rPr>
          <w:sz w:val="22"/>
          <w:szCs w:val="22"/>
        </w:rPr>
        <w:t xml:space="preserve">nél </w:t>
      </w:r>
      <w:r w:rsidRPr="007024C7">
        <w:rPr>
          <w:sz w:val="22"/>
          <w:szCs w:val="22"/>
        </w:rPr>
        <w:t>az eredeti előirányzatát meghaladta 1.404.444</w:t>
      </w:r>
      <w:r w:rsidR="00DC043B">
        <w:rPr>
          <w:sz w:val="22"/>
          <w:szCs w:val="22"/>
        </w:rPr>
        <w:t xml:space="preserve"> </w:t>
      </w:r>
      <w:r w:rsidRPr="007024C7">
        <w:rPr>
          <w:sz w:val="22"/>
          <w:szCs w:val="22"/>
        </w:rPr>
        <w:t>Ft-</w:t>
      </w:r>
      <w:proofErr w:type="gramStart"/>
      <w:r w:rsidR="001B7682">
        <w:rPr>
          <w:sz w:val="22"/>
          <w:szCs w:val="22"/>
        </w:rPr>
        <w:t>t</w:t>
      </w:r>
      <w:r w:rsidRPr="007024C7">
        <w:rPr>
          <w:sz w:val="22"/>
          <w:szCs w:val="22"/>
        </w:rPr>
        <w:t>al ,</w:t>
      </w:r>
      <w:proofErr w:type="gramEnd"/>
      <w:r w:rsidRPr="007024C7">
        <w:rPr>
          <w:sz w:val="22"/>
          <w:szCs w:val="22"/>
        </w:rPr>
        <w:t xml:space="preserve"> oka a konyháknál, piac, fürdő és kemping területen a vírushelyzet miatt fokozott fertőtlenítés, mutató 146,74 %.</w:t>
      </w:r>
    </w:p>
    <w:p w14:paraId="7A4E8576" w14:textId="77777777" w:rsidR="007024C7" w:rsidRPr="007024C7" w:rsidRDefault="007024C7" w:rsidP="007024C7">
      <w:pPr>
        <w:contextualSpacing/>
        <w:jc w:val="both"/>
        <w:outlineLvl w:val="0"/>
        <w:rPr>
          <w:sz w:val="22"/>
          <w:szCs w:val="22"/>
        </w:rPr>
      </w:pPr>
      <w:r w:rsidRPr="007024C7">
        <w:rPr>
          <w:sz w:val="22"/>
          <w:szCs w:val="22"/>
        </w:rPr>
        <w:t>Informatikai szolgáltatás igénybevétele a tervezett módon valósult meg.</w:t>
      </w:r>
    </w:p>
    <w:p w14:paraId="31630431" w14:textId="77777777" w:rsidR="00D47E26" w:rsidRPr="00B463BA" w:rsidRDefault="00D47E26" w:rsidP="00D47E26">
      <w:pPr>
        <w:contextualSpacing/>
        <w:jc w:val="both"/>
        <w:outlineLvl w:val="0"/>
        <w:rPr>
          <w:color w:val="000000"/>
          <w:sz w:val="22"/>
          <w:szCs w:val="22"/>
        </w:rPr>
      </w:pPr>
      <w:r w:rsidRPr="00B463BA">
        <w:rPr>
          <w:color w:val="000000"/>
          <w:sz w:val="22"/>
          <w:szCs w:val="22"/>
        </w:rPr>
        <w:t xml:space="preserve">Az üzemeltetési anyagokra betervezett összeg elmaradt az előirányzathoz képest </w:t>
      </w:r>
      <w:proofErr w:type="gramStart"/>
      <w:r w:rsidRPr="00B463BA">
        <w:rPr>
          <w:color w:val="000000"/>
          <w:sz w:val="22"/>
          <w:szCs w:val="22"/>
        </w:rPr>
        <w:t>2.871.769,-</w:t>
      </w:r>
      <w:proofErr w:type="gramEnd"/>
      <w:r w:rsidRPr="00B463BA">
        <w:rPr>
          <w:color w:val="000000"/>
          <w:sz w:val="22"/>
          <w:szCs w:val="22"/>
        </w:rPr>
        <w:t xml:space="preserve">Ft-tal, oka az hogy az utakra betervezett </w:t>
      </w:r>
      <w:proofErr w:type="spellStart"/>
      <w:r w:rsidRPr="00B463BA">
        <w:rPr>
          <w:color w:val="000000"/>
          <w:sz w:val="22"/>
          <w:szCs w:val="22"/>
        </w:rPr>
        <w:t>síktalanító</w:t>
      </w:r>
      <w:proofErr w:type="spellEnd"/>
      <w:r w:rsidRPr="00B463BA">
        <w:rPr>
          <w:color w:val="000000"/>
          <w:sz w:val="22"/>
          <w:szCs w:val="22"/>
        </w:rPr>
        <w:t xml:space="preserve"> anyag megvásárlása az enyhe időjárás miatt nem volt indokolt, és a gépjárművekre (Renault, JCB munkagép) betervezett javítási, karbantartási anyagok sem a terveknek megfelelően valósultak meg.</w:t>
      </w:r>
    </w:p>
    <w:p w14:paraId="3EA49D40" w14:textId="77777777" w:rsidR="007024C7" w:rsidRPr="007024C7" w:rsidRDefault="007024C7" w:rsidP="00D47E26">
      <w:pPr>
        <w:contextualSpacing/>
        <w:jc w:val="both"/>
        <w:outlineLvl w:val="0"/>
        <w:rPr>
          <w:sz w:val="22"/>
          <w:szCs w:val="22"/>
        </w:rPr>
      </w:pPr>
      <w:r w:rsidRPr="00B463BA">
        <w:rPr>
          <w:color w:val="000000"/>
          <w:sz w:val="22"/>
          <w:szCs w:val="22"/>
        </w:rPr>
        <w:t>A kiadások függvényében a működési célú előzetesen felszámított áfa fizetési kötelezettség is elmarad</w:t>
      </w:r>
      <w:r w:rsidRPr="007024C7">
        <w:rPr>
          <w:sz w:val="22"/>
          <w:szCs w:val="22"/>
        </w:rPr>
        <w:t xml:space="preserve"> tervektől, oka a kiadás megtakarítás.</w:t>
      </w:r>
    </w:p>
    <w:p w14:paraId="4C3164BC" w14:textId="77777777" w:rsidR="009E0234" w:rsidRPr="00DC043B" w:rsidRDefault="009E0234" w:rsidP="009E0234">
      <w:pPr>
        <w:tabs>
          <w:tab w:val="left" w:pos="2989"/>
        </w:tabs>
        <w:contextualSpacing/>
        <w:jc w:val="both"/>
        <w:rPr>
          <w:sz w:val="22"/>
          <w:szCs w:val="22"/>
        </w:rPr>
      </w:pPr>
      <w:r w:rsidRPr="00DC043B">
        <w:rPr>
          <w:sz w:val="22"/>
          <w:szCs w:val="22"/>
        </w:rPr>
        <w:t>Összességében megállapítható, bár az intézmény és telephelyei egész évben nyitva voltak, a vírus kialakulása azonban nagyon nagy hatással volt az intézmény költségvetésének teljesítésére.</w:t>
      </w:r>
    </w:p>
    <w:p w14:paraId="1DF25AE3" w14:textId="77777777" w:rsidR="00692B48" w:rsidRDefault="00692B48" w:rsidP="00201134">
      <w:pPr>
        <w:jc w:val="both"/>
        <w:rPr>
          <w:bCs/>
          <w:color w:val="000000"/>
          <w:sz w:val="22"/>
          <w:szCs w:val="22"/>
        </w:rPr>
      </w:pPr>
    </w:p>
    <w:p w14:paraId="75958117" w14:textId="77777777" w:rsidR="00201134" w:rsidRPr="00BC6F37" w:rsidRDefault="00541395" w:rsidP="00201134">
      <w:pPr>
        <w:jc w:val="both"/>
        <w:rPr>
          <w:b/>
          <w:color w:val="000000"/>
          <w:sz w:val="22"/>
          <w:szCs w:val="22"/>
        </w:rPr>
      </w:pPr>
      <w:r w:rsidRPr="00697CE6">
        <w:rPr>
          <w:b/>
          <w:color w:val="000000"/>
          <w:sz w:val="22"/>
          <w:szCs w:val="22"/>
        </w:rPr>
        <w:t xml:space="preserve">Ady Endre Művelődési Központ és Könyvtár </w:t>
      </w:r>
    </w:p>
    <w:p w14:paraId="03864C44" w14:textId="77777777" w:rsidR="00692B48" w:rsidRPr="00692B48" w:rsidRDefault="00692B48" w:rsidP="00692B48">
      <w:pPr>
        <w:contextualSpacing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adatok Ft-ban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1663"/>
        <w:gridCol w:w="1663"/>
        <w:gridCol w:w="1490"/>
        <w:gridCol w:w="1622"/>
      </w:tblGrid>
      <w:tr w:rsidR="00692B48" w:rsidRPr="00692B48" w14:paraId="7CFE8314" w14:textId="77777777" w:rsidTr="00DA4D72">
        <w:trPr>
          <w:trHeight w:val="506"/>
          <w:jc w:val="center"/>
        </w:trPr>
        <w:tc>
          <w:tcPr>
            <w:tcW w:w="2302" w:type="dxa"/>
            <w:shd w:val="clear" w:color="auto" w:fill="auto"/>
            <w:vAlign w:val="center"/>
          </w:tcPr>
          <w:p w14:paraId="52287863" w14:textId="77777777" w:rsidR="00692B48" w:rsidRPr="00692B48" w:rsidRDefault="00692B48" w:rsidP="00EB7DE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759F43D4" w14:textId="77777777" w:rsidR="00692B48" w:rsidRPr="00692B48" w:rsidRDefault="00692B48" w:rsidP="00EB7DED">
            <w:pPr>
              <w:contextualSpacing/>
              <w:jc w:val="center"/>
              <w:rPr>
                <w:sz w:val="22"/>
                <w:szCs w:val="22"/>
              </w:rPr>
            </w:pPr>
            <w:r w:rsidRPr="00692B48">
              <w:rPr>
                <w:sz w:val="22"/>
                <w:szCs w:val="22"/>
              </w:rPr>
              <w:t>Eredeti       előirányzat Ft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79FA225C" w14:textId="77777777" w:rsidR="00692B48" w:rsidRPr="00692B48" w:rsidRDefault="00692B48" w:rsidP="00EB7DED">
            <w:pPr>
              <w:contextualSpacing/>
              <w:jc w:val="center"/>
              <w:rPr>
                <w:sz w:val="22"/>
                <w:szCs w:val="22"/>
              </w:rPr>
            </w:pPr>
            <w:r w:rsidRPr="00692B48">
              <w:rPr>
                <w:sz w:val="22"/>
                <w:szCs w:val="22"/>
              </w:rPr>
              <w:t>Módosított előirányzat Ft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0C05177D" w14:textId="77777777" w:rsidR="00692B48" w:rsidRPr="00692B48" w:rsidRDefault="00692B48" w:rsidP="00EB7DED">
            <w:pPr>
              <w:contextualSpacing/>
              <w:jc w:val="center"/>
              <w:rPr>
                <w:sz w:val="22"/>
                <w:szCs w:val="22"/>
              </w:rPr>
            </w:pPr>
            <w:r w:rsidRPr="00692B48">
              <w:rPr>
                <w:sz w:val="22"/>
                <w:szCs w:val="22"/>
              </w:rPr>
              <w:t>Teljesítés Ft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3A62D7D3" w14:textId="77777777" w:rsidR="00692B48" w:rsidRPr="00692B48" w:rsidRDefault="00692B48" w:rsidP="00EB7DED">
            <w:pPr>
              <w:contextualSpacing/>
              <w:jc w:val="center"/>
              <w:rPr>
                <w:sz w:val="22"/>
                <w:szCs w:val="22"/>
              </w:rPr>
            </w:pPr>
            <w:r w:rsidRPr="00692B48">
              <w:rPr>
                <w:sz w:val="22"/>
                <w:szCs w:val="22"/>
              </w:rPr>
              <w:t>Teljesítés %-a</w:t>
            </w:r>
          </w:p>
        </w:tc>
      </w:tr>
      <w:tr w:rsidR="00692B48" w:rsidRPr="00692B48" w14:paraId="7CDC4517" w14:textId="77777777" w:rsidTr="00DA4D72">
        <w:trPr>
          <w:trHeight w:val="246"/>
          <w:jc w:val="center"/>
        </w:trPr>
        <w:tc>
          <w:tcPr>
            <w:tcW w:w="2302" w:type="dxa"/>
            <w:shd w:val="clear" w:color="auto" w:fill="auto"/>
            <w:vAlign w:val="center"/>
          </w:tcPr>
          <w:p w14:paraId="4AF796C4" w14:textId="77777777" w:rsidR="00692B48" w:rsidRPr="00692B48" w:rsidRDefault="00692B48" w:rsidP="00EB7DED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692B48">
              <w:rPr>
                <w:color w:val="000000"/>
                <w:sz w:val="22"/>
                <w:szCs w:val="22"/>
              </w:rPr>
              <w:t>Bevétel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175FCAD3" w14:textId="77777777" w:rsidR="00692B48" w:rsidRPr="00692B48" w:rsidRDefault="00692B48" w:rsidP="00EB7DED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692B48">
              <w:rPr>
                <w:color w:val="000000"/>
                <w:sz w:val="22"/>
                <w:szCs w:val="22"/>
              </w:rPr>
              <w:t>63.415.548</w:t>
            </w:r>
            <w:r w:rsidR="001B7682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50F4D086" w14:textId="77777777" w:rsidR="00692B48" w:rsidRPr="00692B48" w:rsidRDefault="00692B48" w:rsidP="00EB7DED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692B48">
              <w:rPr>
                <w:color w:val="000000"/>
                <w:sz w:val="22"/>
                <w:szCs w:val="22"/>
              </w:rPr>
              <w:t>59.826.134</w:t>
            </w:r>
            <w:r w:rsidR="001B7682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5AF096A5" w14:textId="77777777" w:rsidR="00692B48" w:rsidRPr="00692B48" w:rsidRDefault="00692B48" w:rsidP="00EB7DED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692B48">
              <w:rPr>
                <w:color w:val="000000"/>
                <w:sz w:val="22"/>
                <w:szCs w:val="22"/>
              </w:rPr>
              <w:t>53.423.738</w:t>
            </w:r>
            <w:r w:rsidR="001B7682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5AD01C58" w14:textId="77777777" w:rsidR="00692B48" w:rsidRPr="00692B48" w:rsidRDefault="00692B48" w:rsidP="00EB7DED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692B48">
              <w:rPr>
                <w:color w:val="000000"/>
                <w:sz w:val="22"/>
                <w:szCs w:val="22"/>
              </w:rPr>
              <w:t>89,30 %</w:t>
            </w:r>
          </w:p>
        </w:tc>
      </w:tr>
      <w:tr w:rsidR="00692B48" w:rsidRPr="00692B48" w14:paraId="56D4C001" w14:textId="77777777" w:rsidTr="00DA4D72">
        <w:trPr>
          <w:trHeight w:val="264"/>
          <w:jc w:val="center"/>
        </w:trPr>
        <w:tc>
          <w:tcPr>
            <w:tcW w:w="2302" w:type="dxa"/>
            <w:shd w:val="clear" w:color="auto" w:fill="auto"/>
            <w:vAlign w:val="center"/>
          </w:tcPr>
          <w:p w14:paraId="29537D7E" w14:textId="77777777" w:rsidR="00692B48" w:rsidRPr="00692B48" w:rsidRDefault="00692B48" w:rsidP="00EB7DED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692B48">
              <w:rPr>
                <w:color w:val="000000"/>
                <w:sz w:val="22"/>
                <w:szCs w:val="22"/>
              </w:rPr>
              <w:t>Kiadás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03020140" w14:textId="77777777" w:rsidR="00692B48" w:rsidRPr="00692B48" w:rsidRDefault="00692B48" w:rsidP="00EB7DED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692B48">
              <w:rPr>
                <w:color w:val="000000"/>
                <w:sz w:val="22"/>
                <w:szCs w:val="22"/>
              </w:rPr>
              <w:t>63.415.548</w:t>
            </w:r>
            <w:r w:rsidR="001B7682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7EF6A9BF" w14:textId="77777777" w:rsidR="00692B48" w:rsidRPr="00692B48" w:rsidRDefault="00692B48" w:rsidP="00EB7DED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692B48">
              <w:rPr>
                <w:color w:val="000000"/>
                <w:sz w:val="22"/>
                <w:szCs w:val="22"/>
              </w:rPr>
              <w:t>59.826.134</w:t>
            </w:r>
            <w:r w:rsidR="001B7682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57DAF8C0" w14:textId="77777777" w:rsidR="00692B48" w:rsidRPr="00692B48" w:rsidRDefault="00692B48" w:rsidP="00EB7DED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692B48">
              <w:rPr>
                <w:color w:val="000000"/>
                <w:sz w:val="22"/>
                <w:szCs w:val="22"/>
              </w:rPr>
              <w:t>51.115.040</w:t>
            </w:r>
            <w:r w:rsidR="001B7682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0685D1F8" w14:textId="77777777" w:rsidR="00692B48" w:rsidRPr="00692B48" w:rsidRDefault="00692B48" w:rsidP="00EB7DED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92B48">
              <w:rPr>
                <w:color w:val="000000"/>
                <w:sz w:val="22"/>
                <w:szCs w:val="22"/>
              </w:rPr>
              <w:t xml:space="preserve">            85,44 %</w:t>
            </w:r>
          </w:p>
        </w:tc>
      </w:tr>
    </w:tbl>
    <w:p w14:paraId="3AD6C6F2" w14:textId="606F5019" w:rsidR="005373FE" w:rsidRPr="00692B48" w:rsidRDefault="005373FE" w:rsidP="005373FE">
      <w:pPr>
        <w:contextualSpacing/>
        <w:jc w:val="both"/>
        <w:rPr>
          <w:color w:val="000000"/>
          <w:sz w:val="22"/>
          <w:szCs w:val="22"/>
        </w:rPr>
      </w:pPr>
      <w:r w:rsidRPr="00692B48">
        <w:rPr>
          <w:color w:val="000000"/>
          <w:sz w:val="22"/>
          <w:szCs w:val="22"/>
        </w:rPr>
        <w:t>Az intézmény tervezett bevétele 89,30 %-</w:t>
      </w:r>
      <w:proofErr w:type="spellStart"/>
      <w:r w:rsidRPr="00692B48">
        <w:rPr>
          <w:color w:val="000000"/>
          <w:sz w:val="22"/>
          <w:szCs w:val="22"/>
        </w:rPr>
        <w:t>ra</w:t>
      </w:r>
      <w:proofErr w:type="spellEnd"/>
      <w:r w:rsidRPr="00692B48">
        <w:rPr>
          <w:color w:val="000000"/>
          <w:sz w:val="22"/>
          <w:szCs w:val="22"/>
        </w:rPr>
        <w:t xml:space="preserve"> teljesült a</w:t>
      </w:r>
      <w:r>
        <w:rPr>
          <w:color w:val="000000"/>
          <w:sz w:val="22"/>
          <w:szCs w:val="22"/>
        </w:rPr>
        <w:t xml:space="preserve"> módosított</w:t>
      </w:r>
      <w:r w:rsidRPr="00692B48">
        <w:rPr>
          <w:color w:val="000000"/>
          <w:sz w:val="22"/>
          <w:szCs w:val="22"/>
        </w:rPr>
        <w:t xml:space="preserve"> előirányzathoz </w:t>
      </w:r>
      <w:r>
        <w:rPr>
          <w:color w:val="000000"/>
          <w:sz w:val="22"/>
          <w:szCs w:val="22"/>
        </w:rPr>
        <w:t>viszonyítva.</w:t>
      </w:r>
      <w:r w:rsidRPr="00692B48">
        <w:rPr>
          <w:color w:val="000000"/>
          <w:sz w:val="22"/>
          <w:szCs w:val="22"/>
        </w:rPr>
        <w:t xml:space="preserve"> Az önkormányzati támogatás 88,78% </w:t>
      </w:r>
      <w:r w:rsidR="00EE0E06">
        <w:rPr>
          <w:color w:val="000000"/>
          <w:sz w:val="22"/>
          <w:szCs w:val="22"/>
        </w:rPr>
        <w:t xml:space="preserve">azaz </w:t>
      </w:r>
      <w:r w:rsidRPr="00692B48">
        <w:rPr>
          <w:color w:val="000000"/>
          <w:sz w:val="22"/>
          <w:szCs w:val="22"/>
        </w:rPr>
        <w:t>43.375.448</w:t>
      </w:r>
      <w:r w:rsidR="001B7682">
        <w:rPr>
          <w:color w:val="000000"/>
          <w:sz w:val="22"/>
          <w:szCs w:val="22"/>
        </w:rPr>
        <w:t xml:space="preserve"> </w:t>
      </w:r>
      <w:r w:rsidRPr="00692B48">
        <w:rPr>
          <w:color w:val="000000"/>
          <w:sz w:val="22"/>
          <w:szCs w:val="22"/>
        </w:rPr>
        <w:t>Ft</w:t>
      </w:r>
      <w:r>
        <w:rPr>
          <w:color w:val="000000"/>
          <w:sz w:val="22"/>
          <w:szCs w:val="22"/>
        </w:rPr>
        <w:t xml:space="preserve">, a fel </w:t>
      </w:r>
      <w:r w:rsidRPr="00692B48">
        <w:rPr>
          <w:color w:val="000000"/>
          <w:sz w:val="22"/>
          <w:szCs w:val="22"/>
        </w:rPr>
        <w:t xml:space="preserve">nem használt </w:t>
      </w:r>
      <w:r>
        <w:rPr>
          <w:color w:val="000000"/>
          <w:sz w:val="22"/>
          <w:szCs w:val="22"/>
        </w:rPr>
        <w:t>ö</w:t>
      </w:r>
      <w:r w:rsidRPr="00692B48">
        <w:rPr>
          <w:color w:val="000000"/>
          <w:sz w:val="22"/>
          <w:szCs w:val="22"/>
        </w:rPr>
        <w:t>nkormányzati támogatás</w:t>
      </w:r>
      <w:r w:rsidRPr="00692B48">
        <w:rPr>
          <w:sz w:val="22"/>
          <w:szCs w:val="22"/>
        </w:rPr>
        <w:t xml:space="preserve"> </w:t>
      </w:r>
      <w:proofErr w:type="gramStart"/>
      <w:r w:rsidRPr="00692B48">
        <w:rPr>
          <w:color w:val="000000"/>
          <w:sz w:val="22"/>
          <w:szCs w:val="22"/>
        </w:rPr>
        <w:t>5.479.080</w:t>
      </w:r>
      <w:r w:rsidR="001B7682">
        <w:rPr>
          <w:color w:val="000000"/>
          <w:sz w:val="22"/>
          <w:szCs w:val="22"/>
        </w:rPr>
        <w:t xml:space="preserve">  </w:t>
      </w:r>
      <w:r w:rsidRPr="00692B48">
        <w:rPr>
          <w:color w:val="000000"/>
          <w:sz w:val="22"/>
          <w:szCs w:val="22"/>
        </w:rPr>
        <w:t>Ft.</w:t>
      </w:r>
      <w:proofErr w:type="gramEnd"/>
      <w:r w:rsidRPr="00692B48">
        <w:rPr>
          <w:color w:val="000000"/>
          <w:sz w:val="22"/>
          <w:szCs w:val="22"/>
        </w:rPr>
        <w:t xml:space="preserve"> </w:t>
      </w:r>
    </w:p>
    <w:p w14:paraId="5C9B10EC" w14:textId="77777777" w:rsidR="00692B48" w:rsidRPr="00692B48" w:rsidRDefault="00692B48" w:rsidP="00692B48">
      <w:pPr>
        <w:contextualSpacing/>
        <w:jc w:val="both"/>
        <w:rPr>
          <w:sz w:val="22"/>
          <w:szCs w:val="22"/>
        </w:rPr>
      </w:pPr>
      <w:r w:rsidRPr="00692B48">
        <w:rPr>
          <w:sz w:val="22"/>
          <w:szCs w:val="22"/>
        </w:rPr>
        <w:t>A 2020-as év</w:t>
      </w:r>
      <w:r>
        <w:rPr>
          <w:sz w:val="22"/>
          <w:szCs w:val="22"/>
        </w:rPr>
        <w:t>re tervezett feladatok jelentős részének</w:t>
      </w:r>
      <w:r w:rsidRPr="00692B4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végrehajtását </w:t>
      </w:r>
      <w:r w:rsidRPr="00692B48">
        <w:rPr>
          <w:sz w:val="22"/>
          <w:szCs w:val="22"/>
        </w:rPr>
        <w:t>elsősorban a COVID-19 vírus okozta világjárványból adódó korlátozások határozták meg. A járvá</w:t>
      </w:r>
      <w:r>
        <w:rPr>
          <w:sz w:val="22"/>
          <w:szCs w:val="22"/>
        </w:rPr>
        <w:t xml:space="preserve">nyhelyzet miatt </w:t>
      </w:r>
      <w:r w:rsidRPr="00692B48">
        <w:rPr>
          <w:sz w:val="22"/>
          <w:szCs w:val="22"/>
        </w:rPr>
        <w:t>kihirdetett veszélyhelyzetben elmaradt</w:t>
      </w:r>
      <w:r>
        <w:rPr>
          <w:sz w:val="22"/>
          <w:szCs w:val="22"/>
        </w:rPr>
        <w:t>ak</w:t>
      </w:r>
      <w:r w:rsidRPr="00692B48">
        <w:rPr>
          <w:sz w:val="22"/>
          <w:szCs w:val="22"/>
        </w:rPr>
        <w:t xml:space="preserve"> a városi nagyrendezvények, és már 2020. március 16-án be</w:t>
      </w:r>
      <w:r>
        <w:rPr>
          <w:sz w:val="22"/>
          <w:szCs w:val="22"/>
        </w:rPr>
        <w:t xml:space="preserve"> kellett zárni az intézmény a nyilvánosság számára, mind</w:t>
      </w:r>
      <w:r w:rsidRPr="00692B48">
        <w:rPr>
          <w:sz w:val="22"/>
          <w:szCs w:val="22"/>
        </w:rPr>
        <w:t xml:space="preserve"> a művelődési központ és a könyvtár </w:t>
      </w:r>
      <w:r>
        <w:rPr>
          <w:sz w:val="22"/>
          <w:szCs w:val="22"/>
        </w:rPr>
        <w:t>tevékenység tekintetében</w:t>
      </w:r>
      <w:r w:rsidRPr="00692B48">
        <w:rPr>
          <w:sz w:val="22"/>
          <w:szCs w:val="22"/>
        </w:rPr>
        <w:t>. Nem lehetett megtartani a város lakosságának szóló kulturális, rekreációs és szabadidős rendezvényeinket, ill. a művelődő és amatőr művészeti közösségeink próbáit, fellépéseit. Ebből adódóan elmaradtak a</w:t>
      </w:r>
      <w:r>
        <w:rPr>
          <w:sz w:val="22"/>
          <w:szCs w:val="22"/>
        </w:rPr>
        <w:t>z ezekhez kapcsolódóan</w:t>
      </w:r>
      <w:r w:rsidRPr="00692B48">
        <w:rPr>
          <w:sz w:val="22"/>
          <w:szCs w:val="22"/>
        </w:rPr>
        <w:t xml:space="preserve"> tervezett bevételek</w:t>
      </w:r>
      <w:r>
        <w:rPr>
          <w:sz w:val="22"/>
          <w:szCs w:val="22"/>
        </w:rPr>
        <w:t xml:space="preserve"> is</w:t>
      </w:r>
      <w:r w:rsidRPr="00692B48">
        <w:rPr>
          <w:sz w:val="22"/>
          <w:szCs w:val="22"/>
        </w:rPr>
        <w:t>.</w:t>
      </w:r>
    </w:p>
    <w:p w14:paraId="43E513DD" w14:textId="77777777" w:rsidR="00692B48" w:rsidRPr="00692B48" w:rsidRDefault="00692B48" w:rsidP="00692B48">
      <w:pPr>
        <w:contextualSpacing/>
        <w:jc w:val="both"/>
        <w:rPr>
          <w:sz w:val="22"/>
          <w:szCs w:val="22"/>
        </w:rPr>
      </w:pPr>
      <w:r w:rsidRPr="00692B48">
        <w:rPr>
          <w:color w:val="000000"/>
          <w:sz w:val="22"/>
          <w:szCs w:val="22"/>
        </w:rPr>
        <w:t>A működési célú támogatásértékű bevétel állami pénzalapoktól történő teljesítése 93,33%, azaz 4.327.624</w:t>
      </w:r>
      <w:r w:rsidR="001B7682">
        <w:rPr>
          <w:color w:val="000000"/>
          <w:sz w:val="22"/>
          <w:szCs w:val="22"/>
        </w:rPr>
        <w:t xml:space="preserve">  </w:t>
      </w:r>
      <w:r w:rsidRPr="00692B48">
        <w:rPr>
          <w:sz w:val="22"/>
          <w:szCs w:val="22"/>
        </w:rPr>
        <w:t xml:space="preserve"> Ft. Közfoglalkoztatási támogatás </w:t>
      </w:r>
      <w:r w:rsidRPr="00692B48">
        <w:rPr>
          <w:color w:val="000000"/>
          <w:sz w:val="22"/>
          <w:szCs w:val="22"/>
        </w:rPr>
        <w:t xml:space="preserve">teljesítése </w:t>
      </w:r>
      <w:proofErr w:type="gramStart"/>
      <w:r w:rsidRPr="00692B48">
        <w:rPr>
          <w:color w:val="000000"/>
          <w:sz w:val="22"/>
          <w:szCs w:val="22"/>
        </w:rPr>
        <w:t>3.205.252</w:t>
      </w:r>
      <w:r w:rsidR="001B7682">
        <w:rPr>
          <w:color w:val="000000"/>
          <w:sz w:val="22"/>
          <w:szCs w:val="22"/>
        </w:rPr>
        <w:t xml:space="preserve">  </w:t>
      </w:r>
      <w:r w:rsidRPr="00692B48">
        <w:rPr>
          <w:color w:val="000000"/>
          <w:sz w:val="22"/>
          <w:szCs w:val="22"/>
        </w:rPr>
        <w:t>Ft</w:t>
      </w:r>
      <w:proofErr w:type="gramEnd"/>
      <w:r w:rsidRPr="00692B48">
        <w:rPr>
          <w:color w:val="000000"/>
          <w:sz w:val="22"/>
          <w:szCs w:val="22"/>
        </w:rPr>
        <w:t xml:space="preserve"> és TOP pályázatra 1.122.372</w:t>
      </w:r>
      <w:r w:rsidR="001B7682">
        <w:rPr>
          <w:color w:val="000000"/>
          <w:sz w:val="22"/>
          <w:szCs w:val="22"/>
        </w:rPr>
        <w:t xml:space="preserve">  </w:t>
      </w:r>
      <w:r w:rsidRPr="00692B48">
        <w:rPr>
          <w:color w:val="000000"/>
          <w:sz w:val="22"/>
          <w:szCs w:val="22"/>
        </w:rPr>
        <w:t>Ft támogatást</w:t>
      </w:r>
      <w:r w:rsidRPr="00692B48">
        <w:rPr>
          <w:sz w:val="22"/>
          <w:szCs w:val="22"/>
        </w:rPr>
        <w:t xml:space="preserve"> kapott az intézmény. </w:t>
      </w:r>
    </w:p>
    <w:p w14:paraId="4637CEDD" w14:textId="77777777" w:rsidR="00692B48" w:rsidRDefault="005373FE" w:rsidP="00692B48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Az </w:t>
      </w:r>
      <w:r w:rsidR="00692B48" w:rsidRPr="00692B48">
        <w:rPr>
          <w:sz w:val="22"/>
          <w:szCs w:val="22"/>
        </w:rPr>
        <w:t xml:space="preserve">Emberi Erőforrások Minisztériumához „Gyerek Táncház Polgáron” és „Polgári Roma Hagyományőrző Zene és Táncegyüttes” működésének támogatására benyújtott pályázatokon összesen </w:t>
      </w:r>
      <w:proofErr w:type="gramStart"/>
      <w:r w:rsidR="00692B48" w:rsidRPr="00692B48">
        <w:rPr>
          <w:color w:val="000000"/>
          <w:sz w:val="22"/>
          <w:szCs w:val="22"/>
        </w:rPr>
        <w:t>2.800.000</w:t>
      </w:r>
      <w:r w:rsidR="001B7682">
        <w:rPr>
          <w:sz w:val="22"/>
          <w:szCs w:val="22"/>
        </w:rPr>
        <w:t xml:space="preserve">  </w:t>
      </w:r>
      <w:r w:rsidR="00692B48" w:rsidRPr="00692B48">
        <w:rPr>
          <w:sz w:val="22"/>
          <w:szCs w:val="22"/>
        </w:rPr>
        <w:t>Ft</w:t>
      </w:r>
      <w:proofErr w:type="gramEnd"/>
      <w:r w:rsidR="00692B48" w:rsidRPr="00692B48">
        <w:rPr>
          <w:sz w:val="22"/>
          <w:szCs w:val="22"/>
        </w:rPr>
        <w:t xml:space="preserve"> összegű vissza nem térítendő támogatást nyert az </w:t>
      </w:r>
      <w:r>
        <w:rPr>
          <w:sz w:val="22"/>
          <w:szCs w:val="22"/>
        </w:rPr>
        <w:t>i</w:t>
      </w:r>
      <w:r w:rsidR="00692B48" w:rsidRPr="00692B48">
        <w:rPr>
          <w:sz w:val="22"/>
          <w:szCs w:val="22"/>
        </w:rPr>
        <w:t xml:space="preserve">ntézmény 2019, és 2020 évben, melyből </w:t>
      </w:r>
      <w:r w:rsidR="00692B48" w:rsidRPr="00692B48">
        <w:rPr>
          <w:color w:val="000000"/>
          <w:sz w:val="22"/>
          <w:szCs w:val="22"/>
        </w:rPr>
        <w:t>1.223.000</w:t>
      </w:r>
      <w:r w:rsidR="001B7682">
        <w:rPr>
          <w:color w:val="000000"/>
          <w:sz w:val="22"/>
          <w:szCs w:val="22"/>
        </w:rPr>
        <w:t xml:space="preserve">  </w:t>
      </w:r>
      <w:r w:rsidR="00692B48" w:rsidRPr="00692B48">
        <w:rPr>
          <w:color w:val="000000"/>
          <w:sz w:val="22"/>
          <w:szCs w:val="22"/>
        </w:rPr>
        <w:t>Ft</w:t>
      </w:r>
      <w:r w:rsidR="00692B48" w:rsidRPr="00692B48">
        <w:rPr>
          <w:sz w:val="22"/>
          <w:szCs w:val="22"/>
        </w:rPr>
        <w:t xml:space="preserve"> kötelezettséggel terhelt maradvány címén áthúzódik 2021. évre.</w:t>
      </w:r>
    </w:p>
    <w:p w14:paraId="6607DC5C" w14:textId="77777777" w:rsidR="00692B48" w:rsidRPr="00692B48" w:rsidRDefault="005373FE" w:rsidP="00692B48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A m</w:t>
      </w:r>
      <w:r w:rsidR="00692B48" w:rsidRPr="00692B48">
        <w:rPr>
          <w:sz w:val="22"/>
          <w:szCs w:val="22"/>
        </w:rPr>
        <w:t xml:space="preserve">űködési bevételek 2020. évben </w:t>
      </w:r>
      <w:r w:rsidR="00692B48" w:rsidRPr="00692B48">
        <w:rPr>
          <w:color w:val="000000"/>
          <w:sz w:val="22"/>
          <w:szCs w:val="22"/>
        </w:rPr>
        <w:t>87,87 %-ban teljesültek</w:t>
      </w:r>
      <w:r w:rsidR="00692B48" w:rsidRPr="00692B48">
        <w:rPr>
          <w:sz w:val="22"/>
          <w:szCs w:val="22"/>
        </w:rPr>
        <w:t xml:space="preserve">. Terembérleti díjakra tervezett bevétel </w:t>
      </w:r>
      <w:r w:rsidR="00692B48" w:rsidRPr="00692B48">
        <w:rPr>
          <w:color w:val="000000"/>
          <w:sz w:val="22"/>
          <w:szCs w:val="22"/>
        </w:rPr>
        <w:t>85,59</w:t>
      </w:r>
      <w:r w:rsidR="00692B48" w:rsidRPr="00692B48">
        <w:rPr>
          <w:sz w:val="22"/>
          <w:szCs w:val="22"/>
        </w:rPr>
        <w:t xml:space="preserve"> %-ban teljesült </w:t>
      </w:r>
      <w:r w:rsidR="00692B48" w:rsidRPr="00692B48">
        <w:rPr>
          <w:color w:val="000000"/>
          <w:sz w:val="22"/>
          <w:szCs w:val="22"/>
        </w:rPr>
        <w:t>2.383.713</w:t>
      </w:r>
      <w:r w:rsidR="00692B48" w:rsidRPr="00692B48">
        <w:rPr>
          <w:sz w:val="22"/>
          <w:szCs w:val="22"/>
        </w:rPr>
        <w:t xml:space="preserve">Ft összegben. </w:t>
      </w:r>
    </w:p>
    <w:p w14:paraId="569D9AB9" w14:textId="09646788" w:rsidR="00692B48" w:rsidRPr="00692B48" w:rsidRDefault="00692B48" w:rsidP="00692B48">
      <w:pPr>
        <w:contextualSpacing/>
        <w:jc w:val="both"/>
        <w:rPr>
          <w:sz w:val="22"/>
          <w:szCs w:val="22"/>
          <w:u w:val="single"/>
        </w:rPr>
      </w:pPr>
      <w:r w:rsidRPr="00692B48">
        <w:rPr>
          <w:sz w:val="22"/>
          <w:szCs w:val="22"/>
        </w:rPr>
        <w:t>Személyi juttatások</w:t>
      </w:r>
      <w:r w:rsidR="005373FE" w:rsidRPr="005373FE">
        <w:rPr>
          <w:sz w:val="22"/>
          <w:szCs w:val="22"/>
        </w:rPr>
        <w:t xml:space="preserve">: </w:t>
      </w:r>
      <w:r w:rsidR="005373FE" w:rsidRPr="005373FE">
        <w:rPr>
          <w:color w:val="000000"/>
          <w:sz w:val="22"/>
          <w:szCs w:val="22"/>
        </w:rPr>
        <w:t>e</w:t>
      </w:r>
      <w:r w:rsidRPr="00692B48">
        <w:rPr>
          <w:color w:val="000000"/>
          <w:sz w:val="22"/>
          <w:szCs w:val="22"/>
        </w:rPr>
        <w:t xml:space="preserve">redeti </w:t>
      </w:r>
      <w:proofErr w:type="spellStart"/>
      <w:r w:rsidR="00EE0E06">
        <w:rPr>
          <w:color w:val="000000"/>
          <w:sz w:val="22"/>
          <w:szCs w:val="22"/>
        </w:rPr>
        <w:t>ei</w:t>
      </w:r>
      <w:proofErr w:type="spellEnd"/>
      <w:r w:rsidR="00EE0E06">
        <w:rPr>
          <w:color w:val="000000"/>
          <w:sz w:val="22"/>
          <w:szCs w:val="22"/>
        </w:rPr>
        <w:t>.</w:t>
      </w:r>
      <w:r w:rsidRPr="00692B48">
        <w:rPr>
          <w:color w:val="000000"/>
          <w:sz w:val="22"/>
          <w:szCs w:val="22"/>
        </w:rPr>
        <w:t>: 27.277.273</w:t>
      </w:r>
      <w:r w:rsidR="001B7682">
        <w:rPr>
          <w:color w:val="000000"/>
          <w:sz w:val="22"/>
          <w:szCs w:val="22"/>
        </w:rPr>
        <w:t xml:space="preserve"> </w:t>
      </w:r>
      <w:r w:rsidRPr="00692B48">
        <w:rPr>
          <w:color w:val="000000"/>
          <w:sz w:val="22"/>
          <w:szCs w:val="22"/>
        </w:rPr>
        <w:t xml:space="preserve">Ft, módosított </w:t>
      </w:r>
      <w:proofErr w:type="spellStart"/>
      <w:r w:rsidR="00EE0E06">
        <w:rPr>
          <w:color w:val="000000"/>
          <w:sz w:val="22"/>
          <w:szCs w:val="22"/>
        </w:rPr>
        <w:t>ei</w:t>
      </w:r>
      <w:proofErr w:type="spellEnd"/>
      <w:r w:rsidR="00EE0E06">
        <w:rPr>
          <w:color w:val="000000"/>
          <w:sz w:val="22"/>
          <w:szCs w:val="22"/>
        </w:rPr>
        <w:t>.</w:t>
      </w:r>
      <w:r w:rsidRPr="00692B48">
        <w:rPr>
          <w:color w:val="000000"/>
          <w:sz w:val="22"/>
          <w:szCs w:val="22"/>
        </w:rPr>
        <w:t>: 30.939.743</w:t>
      </w:r>
      <w:r w:rsidR="001B7682">
        <w:rPr>
          <w:color w:val="000000"/>
          <w:sz w:val="22"/>
          <w:szCs w:val="22"/>
        </w:rPr>
        <w:t xml:space="preserve"> </w:t>
      </w:r>
      <w:r w:rsidRPr="00692B48">
        <w:rPr>
          <w:color w:val="000000"/>
          <w:sz w:val="22"/>
          <w:szCs w:val="22"/>
        </w:rPr>
        <w:t>Ft, teljesítés: 29.797.157</w:t>
      </w:r>
      <w:r w:rsidR="001B7682">
        <w:rPr>
          <w:color w:val="000000"/>
          <w:sz w:val="22"/>
          <w:szCs w:val="22"/>
        </w:rPr>
        <w:t xml:space="preserve"> </w:t>
      </w:r>
      <w:r w:rsidRPr="00692B48">
        <w:rPr>
          <w:color w:val="000000"/>
          <w:sz w:val="22"/>
          <w:szCs w:val="22"/>
        </w:rPr>
        <w:t>Ft, teljesítés %-</w:t>
      </w:r>
      <w:proofErr w:type="gramStart"/>
      <w:r w:rsidRPr="00692B48">
        <w:rPr>
          <w:color w:val="000000"/>
          <w:sz w:val="22"/>
          <w:szCs w:val="22"/>
        </w:rPr>
        <w:t>a:  96</w:t>
      </w:r>
      <w:proofErr w:type="gramEnd"/>
      <w:r w:rsidRPr="00692B48">
        <w:rPr>
          <w:color w:val="000000"/>
          <w:sz w:val="22"/>
          <w:szCs w:val="22"/>
        </w:rPr>
        <w:t>,31 %</w:t>
      </w:r>
    </w:p>
    <w:p w14:paraId="77459B39" w14:textId="77777777" w:rsidR="00692B48" w:rsidRPr="00692B48" w:rsidRDefault="00935EF9" w:rsidP="00692B48">
      <w:pPr>
        <w:contextualSpacing/>
        <w:jc w:val="both"/>
        <w:rPr>
          <w:sz w:val="22"/>
          <w:szCs w:val="22"/>
        </w:rPr>
      </w:pPr>
      <w:r w:rsidRPr="00692B48">
        <w:rPr>
          <w:sz w:val="22"/>
          <w:szCs w:val="22"/>
        </w:rPr>
        <w:t xml:space="preserve">TOP pályázat keretén belül 1 főt foglalkoztattak </w:t>
      </w:r>
      <w:r w:rsidRPr="00692B48">
        <w:rPr>
          <w:color w:val="000000"/>
          <w:sz w:val="22"/>
          <w:szCs w:val="22"/>
        </w:rPr>
        <w:t>1.263.85</w:t>
      </w:r>
      <w:r w:rsidR="001B7682">
        <w:rPr>
          <w:color w:val="000000"/>
          <w:sz w:val="22"/>
          <w:szCs w:val="22"/>
        </w:rPr>
        <w:t xml:space="preserve"> </w:t>
      </w:r>
      <w:proofErr w:type="gramStart"/>
      <w:r w:rsidRPr="00692B48">
        <w:rPr>
          <w:color w:val="000000"/>
          <w:sz w:val="22"/>
          <w:szCs w:val="22"/>
        </w:rPr>
        <w:t>Ft</w:t>
      </w:r>
      <w:r w:rsidRPr="00692B48">
        <w:rPr>
          <w:sz w:val="22"/>
          <w:szCs w:val="22"/>
        </w:rPr>
        <w:t xml:space="preserve">  a</w:t>
      </w:r>
      <w:proofErr w:type="gramEnd"/>
      <w:r w:rsidRPr="00692B48">
        <w:rPr>
          <w:sz w:val="22"/>
          <w:szCs w:val="22"/>
        </w:rPr>
        <w:t xml:space="preserve"> bérjellegű kiadásra fordított összeg, a dolgozó szintén nagy segítséget jelentett az intézmény feladatainak ellátásában. GINOP pályázat keretén belül 2020 év első 3 hónapjában 471.000</w:t>
      </w:r>
      <w:r w:rsidR="001B7682">
        <w:rPr>
          <w:sz w:val="22"/>
          <w:szCs w:val="22"/>
        </w:rPr>
        <w:t xml:space="preserve"> </w:t>
      </w:r>
      <w:r w:rsidRPr="00692B48">
        <w:rPr>
          <w:sz w:val="22"/>
          <w:szCs w:val="22"/>
        </w:rPr>
        <w:t>Ft a bérjellegű kiadásra fordított összeg.</w:t>
      </w:r>
      <w:r w:rsidR="00BE14E9">
        <w:rPr>
          <w:sz w:val="22"/>
          <w:szCs w:val="22"/>
        </w:rPr>
        <w:t xml:space="preserve"> </w:t>
      </w:r>
      <w:r w:rsidR="00692B48" w:rsidRPr="00692B48">
        <w:rPr>
          <w:sz w:val="22"/>
          <w:szCs w:val="22"/>
        </w:rPr>
        <w:t xml:space="preserve">Év közben előirányzat módosításként az alkalmazottak 2020. évi kompenzációjára, valamint a közművelődési és a közgyűjteményi területen foglalkoztatott közalkalmazottak kulturális illetmény pótlékára szóló támogatás került módosításra. </w:t>
      </w:r>
    </w:p>
    <w:p w14:paraId="4460C8C0" w14:textId="77777777" w:rsidR="00692B48" w:rsidRPr="00692B48" w:rsidRDefault="00692B48" w:rsidP="00692B48">
      <w:pPr>
        <w:contextualSpacing/>
        <w:jc w:val="both"/>
        <w:rPr>
          <w:color w:val="FF0000"/>
          <w:sz w:val="22"/>
          <w:szCs w:val="22"/>
        </w:rPr>
      </w:pPr>
      <w:r w:rsidRPr="00692B48">
        <w:rPr>
          <w:sz w:val="22"/>
          <w:szCs w:val="22"/>
        </w:rPr>
        <w:t xml:space="preserve">A </w:t>
      </w:r>
      <w:r w:rsidRPr="00692B48">
        <w:rPr>
          <w:color w:val="000000"/>
          <w:sz w:val="22"/>
          <w:szCs w:val="22"/>
        </w:rPr>
        <w:t>1.142.586</w:t>
      </w:r>
      <w:r w:rsidR="00BE14E9">
        <w:rPr>
          <w:sz w:val="22"/>
          <w:szCs w:val="22"/>
        </w:rPr>
        <w:t xml:space="preserve"> </w:t>
      </w:r>
      <w:r w:rsidRPr="00692B48">
        <w:rPr>
          <w:sz w:val="22"/>
          <w:szCs w:val="22"/>
        </w:rPr>
        <w:t>Ft összegű bérmegtakarítás a táppénzes állományban lévő munkavállalók fel nem használt munkabéréből, a kötelező továbbképzésre fel nem használt összegből és a külső személyi juttatásokra tervezett fel nem használt részből adódik.</w:t>
      </w:r>
    </w:p>
    <w:p w14:paraId="50024F15" w14:textId="74B08D5A" w:rsidR="00692B48" w:rsidRPr="00692B48" w:rsidRDefault="00692B48" w:rsidP="00692B48">
      <w:pPr>
        <w:contextualSpacing/>
        <w:jc w:val="both"/>
        <w:rPr>
          <w:sz w:val="22"/>
          <w:szCs w:val="22"/>
        </w:rPr>
      </w:pPr>
      <w:r w:rsidRPr="00692B48">
        <w:rPr>
          <w:sz w:val="22"/>
          <w:szCs w:val="22"/>
        </w:rPr>
        <w:t>Munkaadói járulékok:</w:t>
      </w:r>
      <w:r w:rsidR="005373FE">
        <w:rPr>
          <w:sz w:val="22"/>
          <w:szCs w:val="22"/>
        </w:rPr>
        <w:t xml:space="preserve"> e</w:t>
      </w:r>
      <w:r w:rsidRPr="00692B48">
        <w:rPr>
          <w:color w:val="000000"/>
          <w:sz w:val="22"/>
          <w:szCs w:val="22"/>
        </w:rPr>
        <w:t xml:space="preserve">redeti </w:t>
      </w:r>
      <w:proofErr w:type="spellStart"/>
      <w:r w:rsidR="00EE0E06">
        <w:rPr>
          <w:color w:val="000000"/>
          <w:sz w:val="22"/>
          <w:szCs w:val="22"/>
        </w:rPr>
        <w:t>ei</w:t>
      </w:r>
      <w:proofErr w:type="spellEnd"/>
      <w:r w:rsidR="00EE0E06">
        <w:rPr>
          <w:color w:val="000000"/>
          <w:sz w:val="22"/>
          <w:szCs w:val="22"/>
        </w:rPr>
        <w:t>.</w:t>
      </w:r>
      <w:r w:rsidRPr="00692B48">
        <w:rPr>
          <w:color w:val="000000"/>
          <w:sz w:val="22"/>
          <w:szCs w:val="22"/>
        </w:rPr>
        <w:t xml:space="preserve">: 4.677.385Ft, módosított </w:t>
      </w:r>
      <w:proofErr w:type="spellStart"/>
      <w:r w:rsidR="00EE0E06">
        <w:rPr>
          <w:color w:val="000000"/>
          <w:sz w:val="22"/>
          <w:szCs w:val="22"/>
        </w:rPr>
        <w:t>ei</w:t>
      </w:r>
      <w:proofErr w:type="spellEnd"/>
      <w:r w:rsidR="00EE0E06">
        <w:rPr>
          <w:color w:val="000000"/>
          <w:sz w:val="22"/>
          <w:szCs w:val="22"/>
        </w:rPr>
        <w:t>.</w:t>
      </w:r>
      <w:r w:rsidRPr="00692B48">
        <w:rPr>
          <w:color w:val="000000"/>
          <w:sz w:val="22"/>
          <w:szCs w:val="22"/>
        </w:rPr>
        <w:t>: 5.146.639Ft, teljesítés:4.867.173</w:t>
      </w:r>
      <w:proofErr w:type="gramStart"/>
      <w:r w:rsidRPr="00692B48">
        <w:rPr>
          <w:color w:val="000000"/>
          <w:sz w:val="22"/>
          <w:szCs w:val="22"/>
        </w:rPr>
        <w:t>Ft,  teljesítés</w:t>
      </w:r>
      <w:proofErr w:type="gramEnd"/>
      <w:r w:rsidRPr="00692B48">
        <w:rPr>
          <w:color w:val="000000"/>
          <w:sz w:val="22"/>
          <w:szCs w:val="22"/>
        </w:rPr>
        <w:t xml:space="preserve"> %-a:  94,57 %</w:t>
      </w:r>
      <w:r w:rsidR="005373FE">
        <w:rPr>
          <w:sz w:val="22"/>
          <w:szCs w:val="22"/>
        </w:rPr>
        <w:t>, a</w:t>
      </w:r>
      <w:r w:rsidRPr="00692B48">
        <w:rPr>
          <w:sz w:val="22"/>
          <w:szCs w:val="22"/>
        </w:rPr>
        <w:t xml:space="preserve"> személyi juttatásoknál fennmaradó előirányzat járulék vonzata jelentkezik </w:t>
      </w:r>
      <w:r w:rsidR="005373FE">
        <w:rPr>
          <w:sz w:val="22"/>
          <w:szCs w:val="22"/>
        </w:rPr>
        <w:t>maradvány.</w:t>
      </w:r>
    </w:p>
    <w:p w14:paraId="03A0B099" w14:textId="21828BD2" w:rsidR="00692B48" w:rsidRPr="00692B48" w:rsidRDefault="00692B48" w:rsidP="005373FE">
      <w:pPr>
        <w:contextualSpacing/>
        <w:jc w:val="both"/>
        <w:rPr>
          <w:sz w:val="22"/>
          <w:szCs w:val="22"/>
        </w:rPr>
      </w:pPr>
      <w:r w:rsidRPr="00692B48">
        <w:rPr>
          <w:sz w:val="22"/>
          <w:szCs w:val="22"/>
        </w:rPr>
        <w:t>Dologi kiadások:</w:t>
      </w:r>
      <w:r w:rsidR="005373FE">
        <w:rPr>
          <w:sz w:val="22"/>
          <w:szCs w:val="22"/>
        </w:rPr>
        <w:t xml:space="preserve"> e</w:t>
      </w:r>
      <w:r w:rsidRPr="00692B48">
        <w:rPr>
          <w:color w:val="000000"/>
          <w:sz w:val="22"/>
          <w:szCs w:val="22"/>
        </w:rPr>
        <w:t xml:space="preserve">redeti </w:t>
      </w:r>
      <w:proofErr w:type="spellStart"/>
      <w:r w:rsidR="00EE0E06">
        <w:rPr>
          <w:color w:val="000000"/>
          <w:sz w:val="22"/>
          <w:szCs w:val="22"/>
        </w:rPr>
        <w:t>ei</w:t>
      </w:r>
      <w:proofErr w:type="spellEnd"/>
      <w:r w:rsidR="00EE0E06">
        <w:rPr>
          <w:color w:val="000000"/>
          <w:sz w:val="22"/>
          <w:szCs w:val="22"/>
        </w:rPr>
        <w:t>.</w:t>
      </w:r>
      <w:r w:rsidRPr="00692B48">
        <w:rPr>
          <w:color w:val="000000"/>
          <w:sz w:val="22"/>
          <w:szCs w:val="22"/>
        </w:rPr>
        <w:t xml:space="preserve"> 28.460.890Ft, módosított </w:t>
      </w:r>
      <w:proofErr w:type="spellStart"/>
      <w:r w:rsidR="00EE0E06">
        <w:rPr>
          <w:color w:val="000000"/>
          <w:sz w:val="22"/>
          <w:szCs w:val="22"/>
        </w:rPr>
        <w:t>ei</w:t>
      </w:r>
      <w:proofErr w:type="spellEnd"/>
      <w:r w:rsidR="00EE0E06">
        <w:rPr>
          <w:color w:val="000000"/>
          <w:sz w:val="22"/>
          <w:szCs w:val="22"/>
        </w:rPr>
        <w:t>.</w:t>
      </w:r>
      <w:r w:rsidRPr="00692B48">
        <w:rPr>
          <w:color w:val="000000"/>
          <w:sz w:val="22"/>
          <w:szCs w:val="22"/>
        </w:rPr>
        <w:t>: 19.706.42Ft, teljesítés:16.371.31Ft, teljesítés %-a: 83,08 %</w:t>
      </w:r>
    </w:p>
    <w:p w14:paraId="46A39A80" w14:textId="77777777" w:rsidR="00692B48" w:rsidRDefault="00692B48" w:rsidP="00692B48">
      <w:pPr>
        <w:contextualSpacing/>
        <w:jc w:val="both"/>
        <w:rPr>
          <w:sz w:val="22"/>
          <w:szCs w:val="22"/>
        </w:rPr>
      </w:pPr>
      <w:r w:rsidRPr="00692B48">
        <w:rPr>
          <w:color w:val="000000"/>
          <w:sz w:val="22"/>
          <w:szCs w:val="22"/>
        </w:rPr>
        <w:t xml:space="preserve">Intézményi szinten 3.335.112Ft összegű dologi kiadási előirányzat nem került felhasználásra. </w:t>
      </w:r>
      <w:r w:rsidRPr="00692B48">
        <w:rPr>
          <w:sz w:val="22"/>
          <w:szCs w:val="22"/>
        </w:rPr>
        <w:t xml:space="preserve">A Csoóri Sándor Program keretében „Gyerek Táncház </w:t>
      </w:r>
      <w:proofErr w:type="gramStart"/>
      <w:r w:rsidRPr="00692B48">
        <w:rPr>
          <w:sz w:val="22"/>
          <w:szCs w:val="22"/>
        </w:rPr>
        <w:t>Polgáron ”</w:t>
      </w:r>
      <w:proofErr w:type="gramEnd"/>
      <w:r w:rsidRPr="00692B48">
        <w:rPr>
          <w:sz w:val="22"/>
          <w:szCs w:val="22"/>
        </w:rPr>
        <w:t xml:space="preserve"> programra a 2019-2020-as tanév időszakára összesen 800.000 Ft-ot nyert el az Intézmény, melyből 523.000 Ft kötelezettséggel terhelt maradványként áthúzódik a 2021-es évre. A „Polgári Roma Hagyományőrző Zene és Táncegyüttes szakmai munkájának fejlesztése” c. 2019. évi pályázaton 1.300.000</w:t>
      </w:r>
      <w:r w:rsidR="001B7682">
        <w:rPr>
          <w:sz w:val="22"/>
          <w:szCs w:val="22"/>
        </w:rPr>
        <w:t xml:space="preserve"> </w:t>
      </w:r>
      <w:r w:rsidRPr="00692B48">
        <w:rPr>
          <w:sz w:val="22"/>
          <w:szCs w:val="22"/>
        </w:rPr>
        <w:t xml:space="preserve">Ft összeg a 2020. évre áthúzódó kötelezettséggel terhelt maradvány címén valósult meg. Az év végén 700.000Ft-ot szintén a „Polgári Táncház” megvalósítására kapott az intézmény, mely a COVID-19 vírus okozta járványveszély </w:t>
      </w:r>
      <w:proofErr w:type="gramStart"/>
      <w:r w:rsidRPr="00692B48">
        <w:rPr>
          <w:sz w:val="22"/>
          <w:szCs w:val="22"/>
        </w:rPr>
        <w:t>miatt  2021</w:t>
      </w:r>
      <w:proofErr w:type="gramEnd"/>
      <w:r w:rsidRPr="00692B48">
        <w:rPr>
          <w:sz w:val="22"/>
          <w:szCs w:val="22"/>
        </w:rPr>
        <w:t xml:space="preserve"> évben kerül megrendezésre. </w:t>
      </w:r>
    </w:p>
    <w:p w14:paraId="0D6AEDD4" w14:textId="77777777" w:rsidR="00DF5C83" w:rsidRDefault="00DF5C83" w:rsidP="00DF5C83">
      <w:pPr>
        <w:autoSpaceDE w:val="0"/>
        <w:autoSpaceDN w:val="0"/>
        <w:adjustRightInd w:val="0"/>
        <w:contextualSpacing/>
        <w:rPr>
          <w:color w:val="000000"/>
          <w:sz w:val="22"/>
          <w:szCs w:val="22"/>
        </w:rPr>
      </w:pPr>
      <w:r w:rsidRPr="00692B48">
        <w:rPr>
          <w:sz w:val="22"/>
          <w:szCs w:val="22"/>
        </w:rPr>
        <w:t xml:space="preserve">A könyvtári érdekeltségnövelő pályázaton </w:t>
      </w:r>
      <w:r w:rsidRPr="00692B48">
        <w:rPr>
          <w:color w:val="000000"/>
          <w:sz w:val="22"/>
          <w:szCs w:val="22"/>
        </w:rPr>
        <w:t>116.000</w:t>
      </w:r>
      <w:r w:rsidR="001B7682">
        <w:rPr>
          <w:sz w:val="22"/>
          <w:szCs w:val="22"/>
        </w:rPr>
        <w:t xml:space="preserve"> </w:t>
      </w:r>
      <w:r w:rsidRPr="00692B48">
        <w:rPr>
          <w:sz w:val="22"/>
          <w:szCs w:val="22"/>
        </w:rPr>
        <w:t xml:space="preserve">Ft támogatást nyert el az intézmény. A megítélt összegből </w:t>
      </w:r>
      <w:r w:rsidRPr="00692B48">
        <w:rPr>
          <w:color w:val="000000"/>
          <w:sz w:val="22"/>
          <w:szCs w:val="22"/>
        </w:rPr>
        <w:t>49.480</w:t>
      </w:r>
      <w:r w:rsidR="001B7682">
        <w:rPr>
          <w:color w:val="000000"/>
          <w:sz w:val="22"/>
          <w:szCs w:val="22"/>
        </w:rPr>
        <w:t xml:space="preserve"> </w:t>
      </w:r>
      <w:r w:rsidRPr="00692B48">
        <w:rPr>
          <w:color w:val="000000"/>
          <w:sz w:val="22"/>
          <w:szCs w:val="22"/>
        </w:rPr>
        <w:t xml:space="preserve">Ft-ot </w:t>
      </w:r>
      <w:proofErr w:type="spellStart"/>
      <w:r w:rsidRPr="00692B48">
        <w:rPr>
          <w:color w:val="000000"/>
          <w:sz w:val="22"/>
          <w:szCs w:val="22"/>
        </w:rPr>
        <w:t>spirálozógép</w:t>
      </w:r>
      <w:proofErr w:type="spellEnd"/>
      <w:r w:rsidRPr="00692B48">
        <w:rPr>
          <w:color w:val="000000"/>
          <w:sz w:val="22"/>
          <w:szCs w:val="22"/>
        </w:rPr>
        <w:t xml:space="preserve"> vásárlására fordította az Intézmény, melynek 30 %-át a támogatási összegből finanszírozta.</w:t>
      </w:r>
    </w:p>
    <w:p w14:paraId="5A32A2E0" w14:textId="77777777" w:rsidR="00FD1C31" w:rsidRPr="00262F5B" w:rsidRDefault="00FD1C31" w:rsidP="00541395">
      <w:pPr>
        <w:jc w:val="both"/>
        <w:rPr>
          <w:color w:val="000000"/>
          <w:sz w:val="22"/>
          <w:szCs w:val="22"/>
        </w:rPr>
      </w:pPr>
    </w:p>
    <w:p w14:paraId="639F4271" w14:textId="77777777" w:rsidR="00C4672C" w:rsidRPr="00AA4918" w:rsidRDefault="00541395" w:rsidP="00AA4918">
      <w:pPr>
        <w:jc w:val="both"/>
        <w:rPr>
          <w:b/>
          <w:sz w:val="22"/>
          <w:szCs w:val="22"/>
        </w:rPr>
      </w:pPr>
      <w:r w:rsidRPr="00262F5B">
        <w:rPr>
          <w:b/>
          <w:sz w:val="22"/>
          <w:szCs w:val="22"/>
        </w:rPr>
        <w:t>Napsugár Óvoda és Bölcsőde</w:t>
      </w:r>
    </w:p>
    <w:p w14:paraId="6FC4C56F" w14:textId="77777777" w:rsidR="00C4672C" w:rsidRPr="00CA5F3E" w:rsidRDefault="00C4672C" w:rsidP="00C4672C">
      <w:pPr>
        <w:jc w:val="right"/>
        <w:rPr>
          <w:sz w:val="22"/>
          <w:szCs w:val="22"/>
        </w:rPr>
      </w:pPr>
      <w:r w:rsidRPr="00CA5F3E">
        <w:rPr>
          <w:sz w:val="22"/>
          <w:szCs w:val="22"/>
        </w:rPr>
        <w:t>adatok Ft-ban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9"/>
        <w:gridCol w:w="1840"/>
        <w:gridCol w:w="1840"/>
        <w:gridCol w:w="1840"/>
        <w:gridCol w:w="1723"/>
      </w:tblGrid>
      <w:tr w:rsidR="00C4672C" w:rsidRPr="00EB7DED" w14:paraId="40EAE5B5" w14:textId="77777777" w:rsidTr="00EB7DED">
        <w:trPr>
          <w:trHeight w:val="482"/>
        </w:trPr>
        <w:tc>
          <w:tcPr>
            <w:tcW w:w="1740" w:type="dxa"/>
            <w:shd w:val="clear" w:color="auto" w:fill="auto"/>
          </w:tcPr>
          <w:p w14:paraId="6AD7321A" w14:textId="77777777" w:rsidR="00C4672C" w:rsidRPr="00EB7DED" w:rsidRDefault="00C4672C" w:rsidP="00EB7DED">
            <w:pPr>
              <w:jc w:val="right"/>
              <w:rPr>
                <w:rFonts w:eastAsia="SimSun"/>
                <w:sz w:val="22"/>
                <w:szCs w:val="22"/>
              </w:rPr>
            </w:pPr>
          </w:p>
        </w:tc>
        <w:tc>
          <w:tcPr>
            <w:tcW w:w="1861" w:type="dxa"/>
            <w:shd w:val="clear" w:color="auto" w:fill="auto"/>
          </w:tcPr>
          <w:p w14:paraId="5CA9F62C" w14:textId="77777777" w:rsidR="00C4672C" w:rsidRPr="00EB7DED" w:rsidRDefault="00C4672C" w:rsidP="00EB7DED">
            <w:pPr>
              <w:jc w:val="right"/>
              <w:rPr>
                <w:rFonts w:eastAsia="SimSun"/>
                <w:sz w:val="22"/>
                <w:szCs w:val="22"/>
              </w:rPr>
            </w:pPr>
            <w:r w:rsidRPr="00EB7DED">
              <w:rPr>
                <w:rFonts w:eastAsia="SimSun"/>
                <w:sz w:val="22"/>
                <w:szCs w:val="22"/>
              </w:rPr>
              <w:t>Eredeti előirányzat</w:t>
            </w:r>
          </w:p>
        </w:tc>
        <w:tc>
          <w:tcPr>
            <w:tcW w:w="1861" w:type="dxa"/>
            <w:shd w:val="clear" w:color="auto" w:fill="auto"/>
          </w:tcPr>
          <w:p w14:paraId="7F55D105" w14:textId="77777777" w:rsidR="00C4672C" w:rsidRPr="00EB7DED" w:rsidRDefault="00C4672C" w:rsidP="00EB7DED">
            <w:pPr>
              <w:jc w:val="right"/>
              <w:rPr>
                <w:rFonts w:eastAsia="SimSun"/>
                <w:sz w:val="22"/>
                <w:szCs w:val="22"/>
              </w:rPr>
            </w:pPr>
            <w:r w:rsidRPr="00EB7DED">
              <w:rPr>
                <w:rFonts w:eastAsia="SimSun"/>
                <w:sz w:val="22"/>
                <w:szCs w:val="22"/>
              </w:rPr>
              <w:t>Módosított előirányzat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1A40A142" w14:textId="77777777" w:rsidR="00C4672C" w:rsidRPr="00EB7DED" w:rsidRDefault="00C4672C" w:rsidP="00EB7DED">
            <w:pPr>
              <w:jc w:val="right"/>
              <w:rPr>
                <w:rFonts w:eastAsia="SimSun"/>
                <w:sz w:val="22"/>
                <w:szCs w:val="22"/>
              </w:rPr>
            </w:pPr>
            <w:r w:rsidRPr="00EB7DED">
              <w:rPr>
                <w:rFonts w:eastAsia="SimSun"/>
                <w:sz w:val="22"/>
                <w:szCs w:val="22"/>
              </w:rPr>
              <w:t>Teljesítés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C771EF1" w14:textId="77777777" w:rsidR="00C4672C" w:rsidRPr="00EB7DED" w:rsidRDefault="00C4672C" w:rsidP="00EB7DED">
            <w:pPr>
              <w:jc w:val="right"/>
              <w:rPr>
                <w:rFonts w:eastAsia="SimSun"/>
                <w:sz w:val="22"/>
                <w:szCs w:val="22"/>
              </w:rPr>
            </w:pPr>
            <w:r w:rsidRPr="00EB7DED">
              <w:rPr>
                <w:rFonts w:eastAsia="SimSun"/>
                <w:sz w:val="22"/>
                <w:szCs w:val="22"/>
              </w:rPr>
              <w:t>Teljesítés %-a</w:t>
            </w:r>
          </w:p>
        </w:tc>
      </w:tr>
      <w:tr w:rsidR="00C4672C" w:rsidRPr="00EB7DED" w14:paraId="69973827" w14:textId="77777777" w:rsidTr="00EB7DED">
        <w:trPr>
          <w:trHeight w:val="336"/>
        </w:trPr>
        <w:tc>
          <w:tcPr>
            <w:tcW w:w="1740" w:type="dxa"/>
            <w:shd w:val="clear" w:color="auto" w:fill="auto"/>
            <w:vAlign w:val="center"/>
          </w:tcPr>
          <w:p w14:paraId="0E7B28A6" w14:textId="77777777" w:rsidR="00C4672C" w:rsidRPr="00EB7DED" w:rsidRDefault="00C4672C" w:rsidP="00AA4918">
            <w:pPr>
              <w:rPr>
                <w:rFonts w:eastAsia="SimSun"/>
                <w:sz w:val="22"/>
                <w:szCs w:val="22"/>
              </w:rPr>
            </w:pPr>
            <w:r w:rsidRPr="00EB7DED">
              <w:rPr>
                <w:rFonts w:eastAsia="SimSun"/>
                <w:sz w:val="22"/>
                <w:szCs w:val="22"/>
              </w:rPr>
              <w:t>Bevétel</w:t>
            </w:r>
          </w:p>
        </w:tc>
        <w:tc>
          <w:tcPr>
            <w:tcW w:w="1861" w:type="dxa"/>
            <w:shd w:val="clear" w:color="auto" w:fill="auto"/>
          </w:tcPr>
          <w:p w14:paraId="25D31E41" w14:textId="77777777" w:rsidR="00C4672C" w:rsidRPr="00EB7DED" w:rsidRDefault="00C4672C" w:rsidP="00EB7DED">
            <w:pPr>
              <w:jc w:val="right"/>
              <w:rPr>
                <w:rFonts w:eastAsia="SimSun"/>
                <w:sz w:val="22"/>
                <w:szCs w:val="22"/>
              </w:rPr>
            </w:pPr>
            <w:r w:rsidRPr="00EB7DED">
              <w:rPr>
                <w:rFonts w:eastAsia="SimSun"/>
                <w:sz w:val="22"/>
                <w:szCs w:val="22"/>
              </w:rPr>
              <w:t>193.832.732</w:t>
            </w:r>
          </w:p>
        </w:tc>
        <w:tc>
          <w:tcPr>
            <w:tcW w:w="1861" w:type="dxa"/>
            <w:shd w:val="clear" w:color="auto" w:fill="auto"/>
          </w:tcPr>
          <w:p w14:paraId="2F3C7510" w14:textId="77777777" w:rsidR="00C4672C" w:rsidRPr="00EB7DED" w:rsidRDefault="00C4672C" w:rsidP="00EB7DED">
            <w:pPr>
              <w:jc w:val="right"/>
              <w:rPr>
                <w:rFonts w:eastAsia="SimSun"/>
                <w:sz w:val="22"/>
                <w:szCs w:val="22"/>
              </w:rPr>
            </w:pPr>
            <w:r w:rsidRPr="00EB7DED">
              <w:rPr>
                <w:rFonts w:eastAsia="SimSun"/>
                <w:sz w:val="22"/>
                <w:szCs w:val="22"/>
              </w:rPr>
              <w:t>200.450.497</w:t>
            </w:r>
          </w:p>
        </w:tc>
        <w:tc>
          <w:tcPr>
            <w:tcW w:w="1861" w:type="dxa"/>
            <w:shd w:val="clear" w:color="auto" w:fill="auto"/>
          </w:tcPr>
          <w:p w14:paraId="3D63AB4C" w14:textId="77777777" w:rsidR="00C4672C" w:rsidRPr="00EB7DED" w:rsidRDefault="00C4672C" w:rsidP="00EB7DED">
            <w:pPr>
              <w:jc w:val="right"/>
              <w:rPr>
                <w:rFonts w:eastAsia="SimSun"/>
                <w:sz w:val="22"/>
                <w:szCs w:val="22"/>
              </w:rPr>
            </w:pPr>
            <w:r w:rsidRPr="00EB7DED">
              <w:rPr>
                <w:rFonts w:eastAsia="SimSun"/>
                <w:sz w:val="22"/>
                <w:szCs w:val="22"/>
              </w:rPr>
              <w:t>200.034.366</w:t>
            </w:r>
          </w:p>
        </w:tc>
        <w:tc>
          <w:tcPr>
            <w:tcW w:w="1749" w:type="dxa"/>
            <w:shd w:val="clear" w:color="auto" w:fill="auto"/>
          </w:tcPr>
          <w:p w14:paraId="33AF5D33" w14:textId="77777777" w:rsidR="00C4672C" w:rsidRPr="00EB7DED" w:rsidRDefault="00C4672C" w:rsidP="00EB7DED">
            <w:pPr>
              <w:jc w:val="right"/>
              <w:rPr>
                <w:rFonts w:eastAsia="SimSun"/>
                <w:sz w:val="22"/>
                <w:szCs w:val="22"/>
              </w:rPr>
            </w:pPr>
            <w:r w:rsidRPr="00EB7DED">
              <w:rPr>
                <w:rFonts w:eastAsia="SimSun"/>
                <w:sz w:val="22"/>
                <w:szCs w:val="22"/>
              </w:rPr>
              <w:t>99,8 %</w:t>
            </w:r>
          </w:p>
        </w:tc>
      </w:tr>
      <w:tr w:rsidR="00C4672C" w:rsidRPr="00EB7DED" w14:paraId="47F70112" w14:textId="77777777" w:rsidTr="00EB7DED">
        <w:trPr>
          <w:trHeight w:val="336"/>
        </w:trPr>
        <w:tc>
          <w:tcPr>
            <w:tcW w:w="1740" w:type="dxa"/>
            <w:shd w:val="clear" w:color="auto" w:fill="auto"/>
          </w:tcPr>
          <w:p w14:paraId="69522D12" w14:textId="77777777" w:rsidR="00C4672C" w:rsidRPr="00EB7DED" w:rsidRDefault="00C4672C" w:rsidP="00AA4918">
            <w:pPr>
              <w:rPr>
                <w:rFonts w:eastAsia="SimSun"/>
                <w:sz w:val="22"/>
                <w:szCs w:val="22"/>
              </w:rPr>
            </w:pPr>
            <w:r w:rsidRPr="00EB7DED">
              <w:rPr>
                <w:rFonts w:eastAsia="SimSun"/>
                <w:sz w:val="22"/>
                <w:szCs w:val="22"/>
              </w:rPr>
              <w:t>Kiadás</w:t>
            </w:r>
          </w:p>
        </w:tc>
        <w:tc>
          <w:tcPr>
            <w:tcW w:w="1861" w:type="dxa"/>
            <w:shd w:val="clear" w:color="auto" w:fill="auto"/>
          </w:tcPr>
          <w:p w14:paraId="109803E1" w14:textId="77777777" w:rsidR="00C4672C" w:rsidRPr="00EB7DED" w:rsidRDefault="00AA4918" w:rsidP="00EB7DED">
            <w:pPr>
              <w:jc w:val="right"/>
              <w:rPr>
                <w:rFonts w:eastAsia="SimSun"/>
                <w:sz w:val="22"/>
                <w:szCs w:val="22"/>
              </w:rPr>
            </w:pPr>
            <w:r w:rsidRPr="00EB7DED">
              <w:rPr>
                <w:rFonts w:eastAsia="SimSun"/>
                <w:sz w:val="22"/>
                <w:szCs w:val="22"/>
              </w:rPr>
              <w:t xml:space="preserve">         </w:t>
            </w:r>
            <w:r w:rsidR="00C4672C" w:rsidRPr="00EB7DED">
              <w:rPr>
                <w:rFonts w:eastAsia="SimSun"/>
                <w:sz w:val="22"/>
                <w:szCs w:val="22"/>
              </w:rPr>
              <w:t>193.832.732</w:t>
            </w:r>
          </w:p>
        </w:tc>
        <w:tc>
          <w:tcPr>
            <w:tcW w:w="1861" w:type="dxa"/>
            <w:shd w:val="clear" w:color="auto" w:fill="auto"/>
          </w:tcPr>
          <w:p w14:paraId="32D97747" w14:textId="77777777" w:rsidR="00C4672C" w:rsidRPr="00EB7DED" w:rsidRDefault="00AA4918" w:rsidP="00EB7DED">
            <w:pPr>
              <w:jc w:val="right"/>
              <w:rPr>
                <w:rFonts w:eastAsia="SimSun"/>
                <w:sz w:val="22"/>
                <w:szCs w:val="22"/>
              </w:rPr>
            </w:pPr>
            <w:r w:rsidRPr="00EB7DED">
              <w:rPr>
                <w:rFonts w:eastAsia="SimSun"/>
                <w:sz w:val="22"/>
                <w:szCs w:val="22"/>
              </w:rPr>
              <w:t xml:space="preserve">      </w:t>
            </w:r>
            <w:r w:rsidR="00C4672C" w:rsidRPr="00EB7DED">
              <w:rPr>
                <w:rFonts w:eastAsia="SimSun"/>
                <w:sz w:val="22"/>
                <w:szCs w:val="22"/>
              </w:rPr>
              <w:t>200.450.497</w:t>
            </w:r>
          </w:p>
        </w:tc>
        <w:tc>
          <w:tcPr>
            <w:tcW w:w="1861" w:type="dxa"/>
            <w:shd w:val="clear" w:color="auto" w:fill="auto"/>
          </w:tcPr>
          <w:p w14:paraId="5BC19C88" w14:textId="77777777" w:rsidR="00C4672C" w:rsidRPr="00EB7DED" w:rsidRDefault="00AA4918" w:rsidP="00EB7DED">
            <w:pPr>
              <w:jc w:val="right"/>
              <w:rPr>
                <w:rFonts w:eastAsia="SimSun"/>
                <w:sz w:val="22"/>
                <w:szCs w:val="22"/>
              </w:rPr>
            </w:pPr>
            <w:r w:rsidRPr="00EB7DED">
              <w:rPr>
                <w:rFonts w:eastAsia="SimSun"/>
                <w:sz w:val="22"/>
                <w:szCs w:val="22"/>
              </w:rPr>
              <w:t xml:space="preserve">         </w:t>
            </w:r>
            <w:r w:rsidR="00C4672C" w:rsidRPr="00EB7DED">
              <w:rPr>
                <w:rFonts w:eastAsia="SimSun"/>
                <w:sz w:val="22"/>
                <w:szCs w:val="22"/>
              </w:rPr>
              <w:t>199.077.841</w:t>
            </w:r>
          </w:p>
        </w:tc>
        <w:tc>
          <w:tcPr>
            <w:tcW w:w="1749" w:type="dxa"/>
            <w:shd w:val="clear" w:color="auto" w:fill="auto"/>
          </w:tcPr>
          <w:p w14:paraId="2D9F0106" w14:textId="77777777" w:rsidR="00C4672C" w:rsidRPr="00EB7DED" w:rsidRDefault="00C4672C" w:rsidP="00EB7DED">
            <w:pPr>
              <w:jc w:val="right"/>
              <w:rPr>
                <w:rFonts w:eastAsia="SimSun"/>
                <w:sz w:val="22"/>
                <w:szCs w:val="22"/>
              </w:rPr>
            </w:pPr>
            <w:r w:rsidRPr="00EB7DED">
              <w:rPr>
                <w:rFonts w:eastAsia="SimSun"/>
                <w:sz w:val="22"/>
                <w:szCs w:val="22"/>
              </w:rPr>
              <w:t>99,3 %</w:t>
            </w:r>
          </w:p>
        </w:tc>
      </w:tr>
    </w:tbl>
    <w:p w14:paraId="69F0EAB9" w14:textId="77777777" w:rsidR="00C4672C" w:rsidRPr="00CA5F3E" w:rsidRDefault="00C4672C" w:rsidP="00C4672C">
      <w:pPr>
        <w:jc w:val="both"/>
        <w:rPr>
          <w:b/>
          <w:sz w:val="22"/>
          <w:szCs w:val="22"/>
        </w:rPr>
      </w:pPr>
    </w:p>
    <w:p w14:paraId="5A69BD95" w14:textId="77777777" w:rsidR="00C4672C" w:rsidRPr="00CA5F3E" w:rsidRDefault="00C4672C" w:rsidP="00C4672C">
      <w:pPr>
        <w:jc w:val="both"/>
        <w:rPr>
          <w:sz w:val="22"/>
          <w:szCs w:val="22"/>
        </w:rPr>
      </w:pPr>
      <w:r w:rsidRPr="00CA5F3E">
        <w:rPr>
          <w:sz w:val="22"/>
          <w:szCs w:val="22"/>
        </w:rPr>
        <w:t>Az intézménynek saját bevétele a bölcsődei gondozási díjból, a továbbszámlázott szolgáltatásból és a közfoglalkoztatási bértámogatásból tevődött össze.</w:t>
      </w:r>
    </w:p>
    <w:p w14:paraId="259AD911" w14:textId="77777777" w:rsidR="00C4672C" w:rsidRPr="00507CC0" w:rsidRDefault="00C4672C" w:rsidP="00C4672C">
      <w:pPr>
        <w:jc w:val="both"/>
        <w:rPr>
          <w:sz w:val="22"/>
          <w:szCs w:val="22"/>
        </w:rPr>
      </w:pPr>
      <w:r w:rsidRPr="00507CC0">
        <w:rPr>
          <w:sz w:val="22"/>
          <w:szCs w:val="22"/>
        </w:rPr>
        <w:t>Az egyéb működési célú támogatás államháztartáson belülről 87,7 %-ban teljesült, a bevétel elmaradás oka egyrészt a közfoglalkoztatottak betegségéből, másrészt az év közben megüresedő közfoglalkoztatotti álláshely betöltésének nehézségeiből adódik. Ezzel párhuzamosan a kiadásoknál is alacsonyabb a teljesítés a tervezettnél.</w:t>
      </w:r>
    </w:p>
    <w:p w14:paraId="40863625" w14:textId="77777777" w:rsidR="00C4672C" w:rsidRPr="00CA5F3E" w:rsidRDefault="00C4672C" w:rsidP="00C4672C">
      <w:pPr>
        <w:jc w:val="both"/>
        <w:rPr>
          <w:sz w:val="22"/>
          <w:szCs w:val="22"/>
        </w:rPr>
      </w:pPr>
      <w:r w:rsidRPr="00507CC0">
        <w:rPr>
          <w:sz w:val="22"/>
          <w:szCs w:val="22"/>
        </w:rPr>
        <w:t>Az intézményi működési bevételek tervteljesítési mutatója 103,6 %, amelyet a bölcsődei gondozási díjból származó többletbevétel okoz. A gondozási díjból származó bevétel eredeti előirányzata 504</w:t>
      </w:r>
      <w:r w:rsidRPr="000C0D9C">
        <w:rPr>
          <w:sz w:val="22"/>
          <w:szCs w:val="22"/>
        </w:rPr>
        <w:t xml:space="preserve">.000 Ft, </w:t>
      </w:r>
      <w:r>
        <w:rPr>
          <w:sz w:val="22"/>
          <w:szCs w:val="22"/>
        </w:rPr>
        <w:t>a teljesítés 656</w:t>
      </w:r>
      <w:r w:rsidRPr="00152089">
        <w:rPr>
          <w:sz w:val="22"/>
          <w:szCs w:val="22"/>
        </w:rPr>
        <w:t xml:space="preserve">.400 Ft. </w:t>
      </w:r>
      <w:r>
        <w:rPr>
          <w:sz w:val="22"/>
          <w:szCs w:val="22"/>
        </w:rPr>
        <w:t>Ennek oka, hogy a</w:t>
      </w:r>
      <w:r w:rsidRPr="00152089">
        <w:rPr>
          <w:sz w:val="22"/>
          <w:szCs w:val="22"/>
        </w:rPr>
        <w:t>z év során</w:t>
      </w:r>
      <w:r>
        <w:rPr>
          <w:sz w:val="22"/>
          <w:szCs w:val="22"/>
        </w:rPr>
        <w:t>,</w:t>
      </w:r>
      <w:r w:rsidRPr="00152089">
        <w:rPr>
          <w:sz w:val="22"/>
          <w:szCs w:val="22"/>
        </w:rPr>
        <w:t xml:space="preserve"> a bölcsődés gyermekek személyében bekövetezett változás </w:t>
      </w:r>
      <w:r>
        <w:rPr>
          <w:sz w:val="22"/>
          <w:szCs w:val="22"/>
        </w:rPr>
        <w:t>miatt</w:t>
      </w:r>
      <w:r w:rsidRPr="00152089">
        <w:rPr>
          <w:sz w:val="22"/>
          <w:szCs w:val="22"/>
        </w:rPr>
        <w:t xml:space="preserve"> a szociálisan rászorultak száma csökkent, </w:t>
      </w:r>
      <w:r>
        <w:rPr>
          <w:sz w:val="22"/>
          <w:szCs w:val="22"/>
        </w:rPr>
        <w:t>mely</w:t>
      </w:r>
      <w:r w:rsidR="00841CF4">
        <w:rPr>
          <w:sz w:val="22"/>
          <w:szCs w:val="22"/>
        </w:rPr>
        <w:t xml:space="preserve"> az eredetiként tervezettnél</w:t>
      </w:r>
      <w:r w:rsidRPr="00152089">
        <w:rPr>
          <w:sz w:val="22"/>
          <w:szCs w:val="22"/>
        </w:rPr>
        <w:t xml:space="preserve"> magasabb bevételt eredményezett.</w:t>
      </w:r>
    </w:p>
    <w:p w14:paraId="77D80287" w14:textId="77777777" w:rsidR="00C4672C" w:rsidRPr="00D660F4" w:rsidRDefault="00C4672C" w:rsidP="00C4672C">
      <w:pPr>
        <w:jc w:val="both"/>
        <w:outlineLvl w:val="0"/>
        <w:rPr>
          <w:sz w:val="22"/>
          <w:szCs w:val="22"/>
        </w:rPr>
      </w:pPr>
      <w:r w:rsidRPr="00D660F4">
        <w:rPr>
          <w:sz w:val="22"/>
          <w:szCs w:val="22"/>
        </w:rPr>
        <w:t xml:space="preserve">A személyi juttatás és munkaadót terhelő járulék esetében az eredeti előirányzat 181.578.375 Ft, a módosított előirányzat 182.923.907 Ft, teljesítés 182.108.586 Ft, </w:t>
      </w:r>
      <w:r w:rsidR="00AE64A9">
        <w:rPr>
          <w:sz w:val="22"/>
          <w:szCs w:val="22"/>
        </w:rPr>
        <w:t xml:space="preserve">a tervteljesítési </w:t>
      </w:r>
      <w:r w:rsidRPr="00D660F4">
        <w:rPr>
          <w:sz w:val="22"/>
          <w:szCs w:val="22"/>
        </w:rPr>
        <w:t xml:space="preserve">mutató: 99,6 %. A </w:t>
      </w:r>
      <w:r w:rsidRPr="00D660F4">
        <w:rPr>
          <w:sz w:val="22"/>
          <w:szCs w:val="22"/>
        </w:rPr>
        <w:lastRenderedPageBreak/>
        <w:t>személyi jellegű juttatások teljesítése a módosított előirányzatnak megfelelően alakult. 2020. évben 1.735.650 Ft összegben 1 főnek került jubileumi jutalom kifizetésre.</w:t>
      </w:r>
    </w:p>
    <w:p w14:paraId="34E5F41F" w14:textId="77777777" w:rsidR="00C4672C" w:rsidRPr="008C2204" w:rsidRDefault="00C4672C" w:rsidP="00C4672C">
      <w:pPr>
        <w:jc w:val="both"/>
        <w:rPr>
          <w:sz w:val="22"/>
          <w:szCs w:val="22"/>
        </w:rPr>
      </w:pPr>
      <w:r w:rsidRPr="008C2204">
        <w:rPr>
          <w:sz w:val="22"/>
          <w:szCs w:val="22"/>
        </w:rPr>
        <w:t xml:space="preserve">A dologi kiadások tekintetében az eredeti előirányzat 12.254.357 Ft, a módosított előirányzat 12.652.462 Ft, teljesítés 12.095.127 Ft, teljesítés mutatója: 95,6 %. </w:t>
      </w:r>
    </w:p>
    <w:p w14:paraId="74D3257F" w14:textId="77777777" w:rsidR="00C4672C" w:rsidRDefault="00C4672C" w:rsidP="00CD6814">
      <w:pPr>
        <w:jc w:val="both"/>
        <w:rPr>
          <w:color w:val="000000"/>
          <w:sz w:val="22"/>
          <w:szCs w:val="22"/>
        </w:rPr>
      </w:pPr>
    </w:p>
    <w:p w14:paraId="635269FA" w14:textId="77777777" w:rsidR="00CD6814" w:rsidRDefault="0034752E" w:rsidP="00CD6814">
      <w:pPr>
        <w:jc w:val="both"/>
        <w:rPr>
          <w:b/>
          <w:sz w:val="22"/>
          <w:szCs w:val="22"/>
        </w:rPr>
      </w:pPr>
      <w:r w:rsidRPr="00262F5B">
        <w:rPr>
          <w:b/>
          <w:sz w:val="22"/>
          <w:szCs w:val="22"/>
        </w:rPr>
        <w:t>Polgári Szociális</w:t>
      </w:r>
      <w:r w:rsidR="00CD6814" w:rsidRPr="00262F5B">
        <w:rPr>
          <w:b/>
          <w:sz w:val="22"/>
          <w:szCs w:val="22"/>
        </w:rPr>
        <w:t xml:space="preserve"> Központ</w:t>
      </w:r>
    </w:p>
    <w:p w14:paraId="6BB88AF0" w14:textId="77777777" w:rsidR="00EB27EC" w:rsidRDefault="00EB27EC" w:rsidP="00EB27E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adatok forintban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701"/>
        <w:gridCol w:w="1842"/>
        <w:gridCol w:w="1591"/>
        <w:gridCol w:w="1670"/>
      </w:tblGrid>
      <w:tr w:rsidR="00EB27EC" w14:paraId="7583B05A" w14:textId="77777777" w:rsidTr="00DA4D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70157" w14:textId="77777777" w:rsidR="00EB27EC" w:rsidRDefault="00EB27EC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B2CAB" w14:textId="77777777" w:rsidR="00EB27EC" w:rsidRDefault="00EB27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Eredeti előirányzat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D493B" w14:textId="77777777" w:rsidR="00EB27EC" w:rsidRDefault="00EB27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Módosított előirányzat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1D3F" w14:textId="77777777" w:rsidR="00EB27EC" w:rsidRDefault="00EB27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Teljesítés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1D84C" w14:textId="77777777" w:rsidR="00EB27EC" w:rsidRDefault="00EB27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Teljesítés %-a</w:t>
            </w:r>
          </w:p>
        </w:tc>
      </w:tr>
      <w:tr w:rsidR="00EB27EC" w14:paraId="6D9AD4B5" w14:textId="77777777" w:rsidTr="00DA4D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1573E" w14:textId="77777777" w:rsidR="00EB27EC" w:rsidRDefault="00EB27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Bevétel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CCAC1" w14:textId="77777777" w:rsidR="00EB27EC" w:rsidRDefault="00EB27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190.528.536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B10CD" w14:textId="77777777" w:rsidR="00EB27EC" w:rsidRDefault="00EB27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192.167.627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05546" w14:textId="77777777" w:rsidR="00EB27EC" w:rsidRDefault="00EB27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192.053.250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43F3D" w14:textId="77777777" w:rsidR="00EB27EC" w:rsidRDefault="00EB27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EB27EC" w14:paraId="2C466A6F" w14:textId="77777777" w:rsidTr="00DA4D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F23E1" w14:textId="77777777" w:rsidR="00EB27EC" w:rsidRDefault="00EB27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Kiadás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5FF4" w14:textId="77777777" w:rsidR="00EB27EC" w:rsidRDefault="00EB27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190.528.536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DFF16" w14:textId="77777777" w:rsidR="00EB27EC" w:rsidRDefault="00EB27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192.167.627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FDB1E" w14:textId="77777777" w:rsidR="00EB27EC" w:rsidRDefault="00EB27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187.867.729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5C57F" w14:textId="77777777" w:rsidR="00EB27EC" w:rsidRDefault="00EB27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</w:tbl>
    <w:p w14:paraId="246E013D" w14:textId="77777777" w:rsidR="002D7573" w:rsidRDefault="002D7573" w:rsidP="002D757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</w:p>
    <w:p w14:paraId="2B323DA1" w14:textId="77777777" w:rsidR="002D7573" w:rsidRDefault="002D7573" w:rsidP="002D7573">
      <w:pPr>
        <w:jc w:val="both"/>
        <w:rPr>
          <w:sz w:val="22"/>
          <w:szCs w:val="22"/>
        </w:rPr>
      </w:pPr>
      <w:r>
        <w:rPr>
          <w:sz w:val="22"/>
          <w:szCs w:val="22"/>
        </w:rPr>
        <w:t>A saját bevételi forrás egy részét az ellátottak által a különböző szolgáltatásokért fizetett személyi térítési díjak, valamint az állam által finanszírozott szociális ágazati összevont pótlék képezik. A költségvetésben a házi segítségnyújtás gondozási díjbevétele 5.633.800</w:t>
      </w:r>
      <w:r w:rsidR="001B7682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Ft összegben került meghatározásra, ezzel szemben a teljesítés 5.739.020</w:t>
      </w:r>
      <w:r w:rsidR="001B7682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Ft, mely 101,2 %-os túlteljesítést mutat. A szolgáltatásnál a személyi gondozás tevékenységi formánál elszámoláskor +1 fő részére igényelhető normatívára lett jogosult az intézmény, mely 330.000</w:t>
      </w:r>
      <w:r w:rsidR="001B7682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Ft többletbevételt eredményezett.</w:t>
      </w:r>
    </w:p>
    <w:p w14:paraId="4173135E" w14:textId="77777777" w:rsidR="00AB6FB2" w:rsidRDefault="002D7573" w:rsidP="00AB6FB2">
      <w:pPr>
        <w:jc w:val="both"/>
        <w:rPr>
          <w:sz w:val="22"/>
          <w:szCs w:val="22"/>
        </w:rPr>
      </w:pPr>
      <w:r>
        <w:rPr>
          <w:sz w:val="22"/>
          <w:szCs w:val="22"/>
        </w:rPr>
        <w:t>A szociális étkeztetésnél a személyi térítési díjak bevételét 35.233.120</w:t>
      </w:r>
      <w:r w:rsidR="001B7682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Ft + Áfa összegben tervezte az intézmény, ezzel szemben a teljesítés 35.095.375</w:t>
      </w:r>
      <w:r w:rsidR="001B7682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Ft+Áfa</w:t>
      </w:r>
      <w:proofErr w:type="spellEnd"/>
      <w:r>
        <w:rPr>
          <w:sz w:val="22"/>
          <w:szCs w:val="22"/>
        </w:rPr>
        <w:t xml:space="preserve">, melynek tervteljesítési mutatója 99,6 %. </w:t>
      </w:r>
    </w:p>
    <w:p w14:paraId="76BADABB" w14:textId="77777777" w:rsidR="00AB6FB2" w:rsidRDefault="00AB6FB2" w:rsidP="00AB6FB2">
      <w:pPr>
        <w:jc w:val="both"/>
        <w:rPr>
          <w:sz w:val="22"/>
          <w:szCs w:val="22"/>
        </w:rPr>
      </w:pPr>
      <w:r>
        <w:rPr>
          <w:sz w:val="22"/>
          <w:szCs w:val="22"/>
        </w:rPr>
        <w:t>Az intézmény által nyújtott további szolgáltatások igénybevétele térítésmentes.</w:t>
      </w:r>
    </w:p>
    <w:p w14:paraId="7966331D" w14:textId="77777777" w:rsidR="007B5FC3" w:rsidRDefault="007B5FC3" w:rsidP="007B5FC3">
      <w:pPr>
        <w:jc w:val="both"/>
        <w:rPr>
          <w:sz w:val="22"/>
          <w:szCs w:val="22"/>
        </w:rPr>
      </w:pPr>
      <w:r>
        <w:rPr>
          <w:sz w:val="22"/>
          <w:szCs w:val="22"/>
        </w:rPr>
        <w:t>A dolgozók részére a kötelezően előírt továbbképzések egy részét sikerült leszervezni a képző intézménnyel, hogy helyben valósuljon meg, ezért a továbbképzéshez kapcsolódóan útiköltség nem merült fel.</w:t>
      </w:r>
    </w:p>
    <w:p w14:paraId="60C3D10D" w14:textId="77777777" w:rsidR="007B5FC3" w:rsidRDefault="007B5FC3" w:rsidP="007B5FC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szociális étkeztetés szakfeladaton a tervezett ellátotti létszám 385 fő volt, ezzel szemben 2020. évben napi átlagban 338 fő igényelte az ebédet. Az igénybevétel jelentős </w:t>
      </w:r>
      <w:proofErr w:type="gramStart"/>
      <w:r>
        <w:rPr>
          <w:sz w:val="22"/>
          <w:szCs w:val="22"/>
        </w:rPr>
        <w:t>csökkenést mutat</w:t>
      </w:r>
      <w:proofErr w:type="gramEnd"/>
      <w:r>
        <w:rPr>
          <w:sz w:val="22"/>
          <w:szCs w:val="22"/>
        </w:rPr>
        <w:t>, amely 47 fő x 65.360</w:t>
      </w:r>
      <w:r w:rsidR="001B7682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Ft = 3.071.920</w:t>
      </w:r>
      <w:r w:rsidR="001B7682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Ft állami normatív hozzájárulás visszafizetését eredményezte. Az ellátottak számának csökkenését részben a Covid-19 helyzet befolyásolta. Kormányzati intézkedés az elvitellel történő étkeztetés lehetőségét megszüntette, ennek következtében több </w:t>
      </w:r>
      <w:proofErr w:type="spellStart"/>
      <w:r>
        <w:rPr>
          <w:sz w:val="22"/>
          <w:szCs w:val="22"/>
        </w:rPr>
        <w:t>igénybevevő</w:t>
      </w:r>
      <w:proofErr w:type="spellEnd"/>
      <w:r>
        <w:rPr>
          <w:sz w:val="22"/>
          <w:szCs w:val="22"/>
        </w:rPr>
        <w:t xml:space="preserve"> szüneteltette a szolgáltatást. </w:t>
      </w:r>
    </w:p>
    <w:p w14:paraId="5337C0C1" w14:textId="77777777" w:rsidR="007B5FC3" w:rsidRDefault="007B5FC3" w:rsidP="007B5FC3">
      <w:pPr>
        <w:jc w:val="both"/>
        <w:rPr>
          <w:sz w:val="22"/>
          <w:szCs w:val="22"/>
        </w:rPr>
      </w:pPr>
      <w:r>
        <w:rPr>
          <w:sz w:val="22"/>
          <w:szCs w:val="22"/>
        </w:rPr>
        <w:t>A pandémia következtében 530.106</w:t>
      </w:r>
      <w:r w:rsidR="001B7682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Ft többletkiadás keletkezett. A kiadások összege elsősorban a védőeszközök, fertőtlenítőszerek vásárlásának költségét tartalmazza. A második hullám kialakulását követően központi keretből biztosított védőeszközök átadására került sor az SZGYF Hajdú-Bihar Megyei Kirendeltség közreműködésével, így az intézmény költségvetését a továbbiakban ilyen jellegű kiadások nem terhelték.</w:t>
      </w:r>
    </w:p>
    <w:p w14:paraId="1CEA8E92" w14:textId="77777777" w:rsidR="00A04720" w:rsidRDefault="00A04720" w:rsidP="0090588D">
      <w:pPr>
        <w:jc w:val="both"/>
        <w:rPr>
          <w:bCs/>
          <w:color w:val="FF0000"/>
          <w:sz w:val="22"/>
          <w:szCs w:val="22"/>
          <w:lang w:eastAsia="ar-SA"/>
        </w:rPr>
      </w:pPr>
    </w:p>
    <w:p w14:paraId="6D6C4470" w14:textId="77777777" w:rsidR="0090588D" w:rsidRPr="00262F5B" w:rsidRDefault="0090588D" w:rsidP="0090588D">
      <w:pPr>
        <w:jc w:val="both"/>
        <w:rPr>
          <w:b/>
          <w:sz w:val="22"/>
          <w:szCs w:val="22"/>
        </w:rPr>
      </w:pPr>
      <w:r w:rsidRPr="00262F5B">
        <w:rPr>
          <w:b/>
          <w:sz w:val="22"/>
          <w:szCs w:val="22"/>
        </w:rPr>
        <w:t>Polgármesteri Hivatal és szakfeladatai</w:t>
      </w:r>
    </w:p>
    <w:p w14:paraId="6D8A6EE0" w14:textId="77777777" w:rsidR="007748DA" w:rsidRPr="00262F5B" w:rsidRDefault="0090588D" w:rsidP="007748DA">
      <w:pPr>
        <w:jc w:val="right"/>
        <w:rPr>
          <w:sz w:val="22"/>
          <w:szCs w:val="22"/>
        </w:rPr>
      </w:pPr>
      <w:r w:rsidRPr="00262F5B">
        <w:rPr>
          <w:b/>
          <w:sz w:val="22"/>
          <w:szCs w:val="22"/>
        </w:rPr>
        <w:t xml:space="preserve"> </w:t>
      </w:r>
      <w:r w:rsidR="007748DA" w:rsidRPr="00262F5B">
        <w:rPr>
          <w:sz w:val="22"/>
          <w:szCs w:val="22"/>
        </w:rPr>
        <w:t>adatok Ft-ban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701"/>
        <w:gridCol w:w="1842"/>
        <w:gridCol w:w="1591"/>
        <w:gridCol w:w="1528"/>
      </w:tblGrid>
      <w:tr w:rsidR="007748DA" w:rsidRPr="00262F5B" w14:paraId="180B4534" w14:textId="77777777" w:rsidTr="00DA4D72">
        <w:tc>
          <w:tcPr>
            <w:tcW w:w="2127" w:type="dxa"/>
            <w:shd w:val="clear" w:color="auto" w:fill="auto"/>
          </w:tcPr>
          <w:p w14:paraId="72CC80AE" w14:textId="77777777" w:rsidR="007748DA" w:rsidRPr="00262F5B" w:rsidRDefault="007748DA" w:rsidP="00B26D45">
            <w:pPr>
              <w:suppressAutoHyphens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262F5B">
              <w:rPr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Pr="00262F5B">
              <w:rPr>
                <w:bCs/>
                <w:sz w:val="22"/>
                <w:szCs w:val="22"/>
                <w:lang w:eastAsia="ar-SA"/>
              </w:rPr>
              <w:t xml:space="preserve">       </w:t>
            </w:r>
          </w:p>
        </w:tc>
        <w:tc>
          <w:tcPr>
            <w:tcW w:w="1701" w:type="dxa"/>
            <w:shd w:val="clear" w:color="auto" w:fill="auto"/>
          </w:tcPr>
          <w:p w14:paraId="2A719669" w14:textId="77777777" w:rsidR="007748DA" w:rsidRPr="00262F5B" w:rsidRDefault="007748DA" w:rsidP="00B26D45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 w:rsidRPr="00262F5B">
              <w:rPr>
                <w:bCs/>
                <w:sz w:val="22"/>
                <w:szCs w:val="22"/>
                <w:lang w:eastAsia="ar-SA"/>
              </w:rPr>
              <w:t xml:space="preserve">Eredeti </w:t>
            </w:r>
            <w:proofErr w:type="spellStart"/>
            <w:r w:rsidRPr="00262F5B">
              <w:rPr>
                <w:bCs/>
                <w:sz w:val="22"/>
                <w:szCs w:val="22"/>
                <w:lang w:eastAsia="ar-SA"/>
              </w:rPr>
              <w:t>ei</w:t>
            </w:r>
            <w:proofErr w:type="spellEnd"/>
            <w:r w:rsidRPr="00262F5B">
              <w:rPr>
                <w:bCs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62A41614" w14:textId="77777777" w:rsidR="007748DA" w:rsidRPr="00262F5B" w:rsidRDefault="007748DA" w:rsidP="00B26D45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 w:rsidRPr="00262F5B">
              <w:rPr>
                <w:bCs/>
                <w:sz w:val="22"/>
                <w:szCs w:val="22"/>
                <w:lang w:eastAsia="ar-SA"/>
              </w:rPr>
              <w:t xml:space="preserve">Módosított </w:t>
            </w:r>
            <w:proofErr w:type="spellStart"/>
            <w:r w:rsidRPr="00262F5B">
              <w:rPr>
                <w:bCs/>
                <w:sz w:val="22"/>
                <w:szCs w:val="22"/>
                <w:lang w:eastAsia="ar-SA"/>
              </w:rPr>
              <w:t>ei</w:t>
            </w:r>
            <w:proofErr w:type="spellEnd"/>
            <w:r w:rsidRPr="00262F5B">
              <w:rPr>
                <w:bCs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1591" w:type="dxa"/>
            <w:shd w:val="clear" w:color="auto" w:fill="auto"/>
          </w:tcPr>
          <w:p w14:paraId="4BEFF899" w14:textId="77777777" w:rsidR="007748DA" w:rsidRPr="00262F5B" w:rsidRDefault="007748DA" w:rsidP="00B26D45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 w:rsidRPr="00262F5B">
              <w:rPr>
                <w:bCs/>
                <w:sz w:val="22"/>
                <w:szCs w:val="22"/>
                <w:lang w:eastAsia="ar-SA"/>
              </w:rPr>
              <w:t>Teljesítés</w:t>
            </w:r>
          </w:p>
        </w:tc>
        <w:tc>
          <w:tcPr>
            <w:tcW w:w="1528" w:type="dxa"/>
            <w:shd w:val="clear" w:color="auto" w:fill="auto"/>
          </w:tcPr>
          <w:p w14:paraId="5020DEAC" w14:textId="77777777" w:rsidR="007748DA" w:rsidRPr="00262F5B" w:rsidRDefault="007748DA" w:rsidP="00B26D45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 w:rsidRPr="00262F5B">
              <w:rPr>
                <w:bCs/>
                <w:sz w:val="22"/>
                <w:szCs w:val="22"/>
                <w:lang w:eastAsia="ar-SA"/>
              </w:rPr>
              <w:t xml:space="preserve">Teljesítés </w:t>
            </w:r>
            <w:r w:rsidR="00D14E49">
              <w:rPr>
                <w:bCs/>
                <w:sz w:val="22"/>
                <w:szCs w:val="22"/>
                <w:lang w:eastAsia="ar-SA"/>
              </w:rPr>
              <w:t>(</w:t>
            </w:r>
            <w:r w:rsidRPr="00262F5B">
              <w:rPr>
                <w:bCs/>
                <w:sz w:val="22"/>
                <w:szCs w:val="22"/>
                <w:lang w:eastAsia="ar-SA"/>
              </w:rPr>
              <w:t>%</w:t>
            </w:r>
            <w:r w:rsidR="00D14E49">
              <w:rPr>
                <w:bCs/>
                <w:sz w:val="22"/>
                <w:szCs w:val="22"/>
                <w:lang w:eastAsia="ar-SA"/>
              </w:rPr>
              <w:t>)</w:t>
            </w:r>
          </w:p>
        </w:tc>
      </w:tr>
      <w:tr w:rsidR="007748DA" w:rsidRPr="00262F5B" w14:paraId="24F81409" w14:textId="77777777" w:rsidTr="00DA4D72">
        <w:tc>
          <w:tcPr>
            <w:tcW w:w="2127" w:type="dxa"/>
            <w:shd w:val="clear" w:color="auto" w:fill="auto"/>
          </w:tcPr>
          <w:p w14:paraId="036A91C5" w14:textId="77777777" w:rsidR="007748DA" w:rsidRPr="00262F5B" w:rsidRDefault="007748DA" w:rsidP="00B26D45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262F5B">
              <w:rPr>
                <w:bCs/>
                <w:sz w:val="22"/>
                <w:szCs w:val="22"/>
                <w:lang w:eastAsia="ar-SA"/>
              </w:rPr>
              <w:t>Bevétel</w:t>
            </w:r>
          </w:p>
        </w:tc>
        <w:tc>
          <w:tcPr>
            <w:tcW w:w="1701" w:type="dxa"/>
            <w:shd w:val="clear" w:color="auto" w:fill="auto"/>
          </w:tcPr>
          <w:p w14:paraId="2A66D6AF" w14:textId="77777777" w:rsidR="007748DA" w:rsidRPr="00262F5B" w:rsidRDefault="0029095F" w:rsidP="00B26D45">
            <w:pPr>
              <w:suppressAutoHyphens/>
              <w:jc w:val="right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156.973.932</w:t>
            </w:r>
            <w:r w:rsidR="001D452D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A8663C" w:rsidRPr="00262F5B">
              <w:rPr>
                <w:bCs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14:paraId="4646C02E" w14:textId="77777777" w:rsidR="007748DA" w:rsidRPr="00262F5B" w:rsidRDefault="0029095F" w:rsidP="00B26D45">
            <w:pPr>
              <w:suppressAutoHyphens/>
              <w:jc w:val="right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153.502.155</w:t>
            </w:r>
            <w:r w:rsidR="001D452D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A8663C" w:rsidRPr="00262F5B">
              <w:rPr>
                <w:bCs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591" w:type="dxa"/>
            <w:shd w:val="clear" w:color="auto" w:fill="auto"/>
          </w:tcPr>
          <w:p w14:paraId="23477EED" w14:textId="77777777" w:rsidR="007748DA" w:rsidRPr="00262F5B" w:rsidRDefault="0029095F" w:rsidP="00B26D45">
            <w:pPr>
              <w:suppressAutoHyphens/>
              <w:jc w:val="right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144.672.991</w:t>
            </w:r>
            <w:r w:rsidR="001D452D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A8663C" w:rsidRPr="00262F5B">
              <w:rPr>
                <w:bCs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528" w:type="dxa"/>
            <w:shd w:val="clear" w:color="auto" w:fill="auto"/>
          </w:tcPr>
          <w:p w14:paraId="08DD1840" w14:textId="77777777" w:rsidR="007748DA" w:rsidRPr="00262F5B" w:rsidRDefault="001D452D" w:rsidP="00B26D45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29095F">
              <w:rPr>
                <w:bCs/>
                <w:sz w:val="22"/>
                <w:szCs w:val="22"/>
                <w:lang w:eastAsia="ar-SA"/>
              </w:rPr>
              <w:t>95 %</w:t>
            </w:r>
          </w:p>
        </w:tc>
      </w:tr>
      <w:tr w:rsidR="007748DA" w:rsidRPr="00262F5B" w14:paraId="7C9DD016" w14:textId="77777777" w:rsidTr="00DA4D72">
        <w:tc>
          <w:tcPr>
            <w:tcW w:w="2127" w:type="dxa"/>
            <w:shd w:val="clear" w:color="auto" w:fill="auto"/>
          </w:tcPr>
          <w:p w14:paraId="5C256D5E" w14:textId="77777777" w:rsidR="007748DA" w:rsidRPr="00262F5B" w:rsidRDefault="007748DA" w:rsidP="00B26D45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262F5B">
              <w:rPr>
                <w:bCs/>
                <w:sz w:val="22"/>
                <w:szCs w:val="22"/>
                <w:lang w:eastAsia="ar-SA"/>
              </w:rPr>
              <w:t>Kiadás</w:t>
            </w:r>
          </w:p>
        </w:tc>
        <w:tc>
          <w:tcPr>
            <w:tcW w:w="1701" w:type="dxa"/>
            <w:shd w:val="clear" w:color="auto" w:fill="auto"/>
          </w:tcPr>
          <w:p w14:paraId="22E18FA8" w14:textId="77777777" w:rsidR="007748DA" w:rsidRPr="00262F5B" w:rsidRDefault="0029095F" w:rsidP="00B26D45">
            <w:pPr>
              <w:suppressAutoHyphens/>
              <w:jc w:val="right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156.973.932</w:t>
            </w:r>
            <w:r w:rsidR="001D452D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A8663C" w:rsidRPr="00262F5B">
              <w:rPr>
                <w:bCs/>
                <w:sz w:val="22"/>
                <w:szCs w:val="22"/>
                <w:lang w:eastAsia="ar-SA"/>
              </w:rPr>
              <w:t xml:space="preserve">  </w:t>
            </w:r>
          </w:p>
        </w:tc>
        <w:tc>
          <w:tcPr>
            <w:tcW w:w="1842" w:type="dxa"/>
            <w:shd w:val="clear" w:color="auto" w:fill="auto"/>
          </w:tcPr>
          <w:p w14:paraId="4250F812" w14:textId="77777777" w:rsidR="007748DA" w:rsidRPr="00262F5B" w:rsidRDefault="0029095F" w:rsidP="00B26D45">
            <w:pPr>
              <w:suppressAutoHyphens/>
              <w:jc w:val="right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153.502.155</w:t>
            </w:r>
            <w:r w:rsidR="001D452D">
              <w:rPr>
                <w:bCs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591" w:type="dxa"/>
            <w:shd w:val="clear" w:color="auto" w:fill="auto"/>
          </w:tcPr>
          <w:p w14:paraId="3749B4CA" w14:textId="77777777" w:rsidR="007748DA" w:rsidRPr="00262F5B" w:rsidRDefault="0029095F" w:rsidP="00B26D45">
            <w:pPr>
              <w:suppressAutoHyphens/>
              <w:jc w:val="right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148.621.011</w:t>
            </w:r>
            <w:r w:rsidR="001D452D">
              <w:rPr>
                <w:bCs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528" w:type="dxa"/>
            <w:shd w:val="clear" w:color="auto" w:fill="auto"/>
          </w:tcPr>
          <w:p w14:paraId="21A97297" w14:textId="77777777" w:rsidR="007748DA" w:rsidRPr="00262F5B" w:rsidRDefault="0029095F" w:rsidP="00B26D45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 97 %</w:t>
            </w:r>
            <w:r w:rsidR="001D452D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A8663C" w:rsidRPr="00262F5B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0175E0" w:rsidRPr="00262F5B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A8663C" w:rsidRPr="00262F5B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0175E0" w:rsidRPr="00262F5B">
              <w:rPr>
                <w:bCs/>
                <w:sz w:val="22"/>
                <w:szCs w:val="22"/>
                <w:lang w:eastAsia="ar-SA"/>
              </w:rPr>
              <w:t xml:space="preserve"> </w:t>
            </w:r>
          </w:p>
        </w:tc>
      </w:tr>
    </w:tbl>
    <w:p w14:paraId="4D44D5E6" w14:textId="77777777" w:rsidR="0090588D" w:rsidRPr="00262F5B" w:rsidRDefault="0090588D" w:rsidP="0090588D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</w:rPr>
      </w:pPr>
    </w:p>
    <w:p w14:paraId="64CEC6C6" w14:textId="77777777" w:rsidR="00CE407A" w:rsidRDefault="00CE407A" w:rsidP="00CE407A">
      <w:pPr>
        <w:jc w:val="both"/>
        <w:rPr>
          <w:sz w:val="22"/>
          <w:szCs w:val="22"/>
        </w:rPr>
      </w:pPr>
      <w:r w:rsidRPr="00262F5B">
        <w:rPr>
          <w:sz w:val="22"/>
          <w:szCs w:val="22"/>
        </w:rPr>
        <w:t>A Hivatal</w:t>
      </w:r>
      <w:r>
        <w:rPr>
          <w:sz w:val="22"/>
          <w:szCs w:val="22"/>
        </w:rPr>
        <w:t xml:space="preserve"> bevételeinél az előző évi költségvetési maradvány igénybevételének tervteljesítési mutatója 100 % összege 3.960.392 Ft volt.</w:t>
      </w:r>
    </w:p>
    <w:p w14:paraId="6BAC7B2F" w14:textId="77777777" w:rsidR="00CE407A" w:rsidRPr="00262F5B" w:rsidRDefault="00CE407A" w:rsidP="00CE407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intézményfinanszírozás tervteljesítési mutatója 95,8 %, mely a kiadások teljesítésével összhangban alacsonyabb a tervezettnél. </w:t>
      </w:r>
    </w:p>
    <w:p w14:paraId="52FEB16F" w14:textId="77777777" w:rsidR="0055165F" w:rsidRDefault="00026AC7" w:rsidP="00026AC7">
      <w:pPr>
        <w:jc w:val="both"/>
        <w:rPr>
          <w:sz w:val="22"/>
          <w:szCs w:val="22"/>
        </w:rPr>
      </w:pPr>
      <w:r w:rsidRPr="00262F5B">
        <w:rPr>
          <w:sz w:val="22"/>
          <w:szCs w:val="22"/>
        </w:rPr>
        <w:t>A 20</w:t>
      </w:r>
      <w:r w:rsidR="00DC5D30">
        <w:rPr>
          <w:sz w:val="22"/>
          <w:szCs w:val="22"/>
        </w:rPr>
        <w:t>20</w:t>
      </w:r>
      <w:r w:rsidRPr="00262F5B">
        <w:rPr>
          <w:sz w:val="22"/>
          <w:szCs w:val="22"/>
        </w:rPr>
        <w:t xml:space="preserve">. évben telephely engedély címén </w:t>
      </w:r>
      <w:r w:rsidR="00CE407A">
        <w:rPr>
          <w:sz w:val="22"/>
          <w:szCs w:val="22"/>
        </w:rPr>
        <w:t>tervezett</w:t>
      </w:r>
      <w:r w:rsidRPr="00262F5B">
        <w:rPr>
          <w:sz w:val="22"/>
          <w:szCs w:val="22"/>
        </w:rPr>
        <w:t xml:space="preserve"> összeg </w:t>
      </w:r>
      <w:r w:rsidR="0002385B">
        <w:rPr>
          <w:sz w:val="22"/>
          <w:szCs w:val="22"/>
        </w:rPr>
        <w:t xml:space="preserve">75.000 </w:t>
      </w:r>
      <w:r w:rsidRPr="00262F5B">
        <w:rPr>
          <w:sz w:val="22"/>
          <w:szCs w:val="22"/>
        </w:rPr>
        <w:t xml:space="preserve">Ft, az esküvői szolgáltatás díjából keletkezett bevétel </w:t>
      </w:r>
      <w:r w:rsidR="0002385B">
        <w:rPr>
          <w:sz w:val="22"/>
          <w:szCs w:val="22"/>
        </w:rPr>
        <w:t>762.000</w:t>
      </w:r>
      <w:r w:rsidR="001B7682">
        <w:rPr>
          <w:sz w:val="22"/>
          <w:szCs w:val="22"/>
        </w:rPr>
        <w:t xml:space="preserve"> </w:t>
      </w:r>
      <w:r w:rsidRPr="00262F5B">
        <w:rPr>
          <w:sz w:val="22"/>
          <w:szCs w:val="22"/>
        </w:rPr>
        <w:t xml:space="preserve">Ft </w:t>
      </w:r>
      <w:r w:rsidR="0055165F">
        <w:rPr>
          <w:sz w:val="22"/>
          <w:szCs w:val="22"/>
        </w:rPr>
        <w:t xml:space="preserve">+ Áfa </w:t>
      </w:r>
      <w:r w:rsidRPr="00262F5B">
        <w:rPr>
          <w:sz w:val="22"/>
          <w:szCs w:val="22"/>
        </w:rPr>
        <w:t xml:space="preserve">volt. </w:t>
      </w:r>
      <w:r w:rsidR="0002385B">
        <w:rPr>
          <w:sz w:val="22"/>
          <w:szCs w:val="22"/>
        </w:rPr>
        <w:t>A teljesítés az engedélyek díjainál 10.000 Ft, az esküvői díjaknál 275.000 Ft volt, ez utóbbi esetében a bevétel elmaradás oka az, hogy a járványhelyzetben az esküvők lebonyolítására nem volt a hagyományos keretek között lehetőség, így jellemzően hétköznapokon, azaz térítésmentes formában jelentkezett több igény erre a szolgáltatásra.</w:t>
      </w:r>
    </w:p>
    <w:p w14:paraId="0FE9D6CE" w14:textId="77777777" w:rsidR="00111C33" w:rsidRDefault="00111C33" w:rsidP="00026AC7">
      <w:pPr>
        <w:jc w:val="both"/>
        <w:rPr>
          <w:sz w:val="22"/>
          <w:szCs w:val="22"/>
        </w:rPr>
      </w:pPr>
      <w:r>
        <w:rPr>
          <w:sz w:val="22"/>
          <w:szCs w:val="22"/>
        </w:rPr>
        <w:t>Iroda bérleti díjból származóan éves szinten 82.680 Ft bevétel keletkezett a Hivatalnak</w:t>
      </w:r>
      <w:r w:rsidR="00E93622">
        <w:rPr>
          <w:sz w:val="22"/>
          <w:szCs w:val="22"/>
        </w:rPr>
        <w:t xml:space="preserve">. </w:t>
      </w:r>
    </w:p>
    <w:p w14:paraId="18E24A65" w14:textId="77777777" w:rsidR="00A543C5" w:rsidRPr="00262F5B" w:rsidRDefault="00A543C5" w:rsidP="00026AC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továbbszámlázott szolgáltatások előirányzata 10.102.000 </w:t>
      </w:r>
      <w:proofErr w:type="spellStart"/>
      <w:r>
        <w:rPr>
          <w:sz w:val="22"/>
          <w:szCs w:val="22"/>
        </w:rPr>
        <w:t>Ft+Áfa</w:t>
      </w:r>
      <w:proofErr w:type="spellEnd"/>
      <w:r>
        <w:rPr>
          <w:sz w:val="22"/>
          <w:szCs w:val="22"/>
        </w:rPr>
        <w:t xml:space="preserve">, a teljesítés 10.271.977 </w:t>
      </w:r>
      <w:proofErr w:type="spellStart"/>
      <w:r>
        <w:rPr>
          <w:sz w:val="22"/>
          <w:szCs w:val="22"/>
        </w:rPr>
        <w:t>Ft+Áfa</w:t>
      </w:r>
      <w:proofErr w:type="spellEnd"/>
      <w:r>
        <w:rPr>
          <w:sz w:val="22"/>
          <w:szCs w:val="22"/>
        </w:rPr>
        <w:t xml:space="preserve">, tervteljesítési mutató 102 %. </w:t>
      </w:r>
    </w:p>
    <w:p w14:paraId="3C4CC8F4" w14:textId="77777777" w:rsidR="00A91DB5" w:rsidRPr="00A543C5" w:rsidRDefault="0090588D" w:rsidP="00E223E6">
      <w:pPr>
        <w:jc w:val="both"/>
        <w:rPr>
          <w:sz w:val="22"/>
          <w:szCs w:val="22"/>
        </w:rPr>
      </w:pPr>
      <w:r w:rsidRPr="00721267">
        <w:rPr>
          <w:bCs/>
          <w:sz w:val="22"/>
          <w:szCs w:val="22"/>
        </w:rPr>
        <w:lastRenderedPageBreak/>
        <w:t xml:space="preserve">A </w:t>
      </w:r>
      <w:r w:rsidR="00827DA6" w:rsidRPr="00721267">
        <w:rPr>
          <w:bCs/>
          <w:sz w:val="22"/>
          <w:szCs w:val="22"/>
        </w:rPr>
        <w:t>H</w:t>
      </w:r>
      <w:r w:rsidRPr="00721267">
        <w:rPr>
          <w:bCs/>
          <w:sz w:val="22"/>
          <w:szCs w:val="22"/>
        </w:rPr>
        <w:t>ivatal és szakfeladatainál a foglalkoztatottak személyi juttatásai éves tervteljesítési mu</w:t>
      </w:r>
      <w:r w:rsidR="004D3C46" w:rsidRPr="00721267">
        <w:rPr>
          <w:bCs/>
          <w:sz w:val="22"/>
          <w:szCs w:val="22"/>
        </w:rPr>
        <w:t>tatója</w:t>
      </w:r>
      <w:r w:rsidR="00684DB9">
        <w:rPr>
          <w:bCs/>
          <w:sz w:val="22"/>
          <w:szCs w:val="22"/>
        </w:rPr>
        <w:t xml:space="preserve"> </w:t>
      </w:r>
      <w:r w:rsidR="00A81EA3">
        <w:rPr>
          <w:bCs/>
          <w:sz w:val="22"/>
          <w:szCs w:val="22"/>
        </w:rPr>
        <w:t>99</w:t>
      </w:r>
      <w:r w:rsidRPr="00721267">
        <w:rPr>
          <w:bCs/>
          <w:sz w:val="22"/>
          <w:szCs w:val="22"/>
        </w:rPr>
        <w:t>%</w:t>
      </w:r>
      <w:r w:rsidR="00F210EE" w:rsidRPr="00721267">
        <w:rPr>
          <w:bCs/>
          <w:sz w:val="22"/>
          <w:szCs w:val="22"/>
        </w:rPr>
        <w:t xml:space="preserve">. </w:t>
      </w:r>
      <w:r w:rsidR="00721267" w:rsidRPr="00721267">
        <w:rPr>
          <w:bCs/>
          <w:color w:val="000000"/>
          <w:sz w:val="22"/>
          <w:szCs w:val="22"/>
        </w:rPr>
        <w:t>Jubileumi jutalomra jogosult 1 fő köztisztviselő</w:t>
      </w:r>
      <w:r w:rsidR="008F03F6">
        <w:rPr>
          <w:bCs/>
          <w:color w:val="000000"/>
          <w:sz w:val="22"/>
          <w:szCs w:val="22"/>
        </w:rPr>
        <w:t xml:space="preserve"> volt</w:t>
      </w:r>
      <w:r w:rsidR="00721267" w:rsidRPr="00721267">
        <w:rPr>
          <w:bCs/>
          <w:color w:val="000000"/>
          <w:sz w:val="22"/>
          <w:szCs w:val="22"/>
        </w:rPr>
        <w:t>, ezen a jogcímen 1.444.000 Ft + járulék került kifizetésre.</w:t>
      </w:r>
      <w:r w:rsidR="00BB655E" w:rsidRPr="00721267">
        <w:rPr>
          <w:bCs/>
          <w:color w:val="000000"/>
          <w:sz w:val="22"/>
          <w:szCs w:val="22"/>
        </w:rPr>
        <w:t xml:space="preserve"> </w:t>
      </w:r>
    </w:p>
    <w:p w14:paraId="68C5FE52" w14:textId="77777777" w:rsidR="00FA45F2" w:rsidRPr="00721267" w:rsidRDefault="0090588D" w:rsidP="0090588D">
      <w:pPr>
        <w:jc w:val="both"/>
        <w:rPr>
          <w:bCs/>
          <w:sz w:val="22"/>
          <w:szCs w:val="22"/>
        </w:rPr>
      </w:pPr>
      <w:r w:rsidRPr="00721267">
        <w:rPr>
          <w:bCs/>
          <w:sz w:val="22"/>
          <w:szCs w:val="22"/>
        </w:rPr>
        <w:t>A dologi kiadásoknál a módosított elő</w:t>
      </w:r>
      <w:r w:rsidR="005A3F84" w:rsidRPr="00721267">
        <w:rPr>
          <w:bCs/>
          <w:sz w:val="22"/>
          <w:szCs w:val="22"/>
        </w:rPr>
        <w:t>irányza</w:t>
      </w:r>
      <w:r w:rsidR="00503F56" w:rsidRPr="00721267">
        <w:rPr>
          <w:bCs/>
          <w:sz w:val="22"/>
          <w:szCs w:val="22"/>
        </w:rPr>
        <w:t>t</w:t>
      </w:r>
      <w:r w:rsidR="000E4743">
        <w:rPr>
          <w:bCs/>
          <w:sz w:val="22"/>
          <w:szCs w:val="22"/>
        </w:rPr>
        <w:t xml:space="preserve">hoz viszonyított </w:t>
      </w:r>
      <w:r w:rsidRPr="00721267">
        <w:rPr>
          <w:bCs/>
          <w:sz w:val="22"/>
          <w:szCs w:val="22"/>
        </w:rPr>
        <w:t>év</w:t>
      </w:r>
      <w:r w:rsidR="005A3F84" w:rsidRPr="00721267">
        <w:rPr>
          <w:bCs/>
          <w:sz w:val="22"/>
          <w:szCs w:val="22"/>
        </w:rPr>
        <w:t xml:space="preserve">es tervteljesítési mutató </w:t>
      </w:r>
      <w:r w:rsidR="000E4743">
        <w:rPr>
          <w:bCs/>
          <w:sz w:val="22"/>
          <w:szCs w:val="22"/>
        </w:rPr>
        <w:t>80</w:t>
      </w:r>
      <w:r w:rsidR="005A3F84" w:rsidRPr="00721267">
        <w:rPr>
          <w:bCs/>
          <w:sz w:val="22"/>
          <w:szCs w:val="22"/>
        </w:rPr>
        <w:t>%</w:t>
      </w:r>
      <w:r w:rsidR="00503F56" w:rsidRPr="00721267">
        <w:rPr>
          <w:bCs/>
          <w:sz w:val="22"/>
          <w:szCs w:val="22"/>
        </w:rPr>
        <w:t>.</w:t>
      </w:r>
      <w:r w:rsidR="005A3F84" w:rsidRPr="00721267">
        <w:rPr>
          <w:bCs/>
          <w:sz w:val="22"/>
          <w:szCs w:val="22"/>
        </w:rPr>
        <w:t xml:space="preserve"> </w:t>
      </w:r>
    </w:p>
    <w:p w14:paraId="0EBA8D26" w14:textId="77777777" w:rsidR="00A543C5" w:rsidRPr="00721267" w:rsidRDefault="008F03F6" w:rsidP="0090588D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Ezen belül a</w:t>
      </w:r>
      <w:r w:rsidR="0007702B" w:rsidRPr="00721267">
        <w:rPr>
          <w:bCs/>
          <w:color w:val="000000"/>
          <w:sz w:val="22"/>
          <w:szCs w:val="22"/>
        </w:rPr>
        <w:t>z informatikai szolgáltatások</w:t>
      </w:r>
      <w:r w:rsidR="00A96808">
        <w:rPr>
          <w:bCs/>
          <w:color w:val="000000"/>
          <w:sz w:val="22"/>
          <w:szCs w:val="22"/>
        </w:rPr>
        <w:t xml:space="preserve"> tervteljesítése</w:t>
      </w:r>
      <w:r w:rsidR="0007702B" w:rsidRPr="00721267">
        <w:rPr>
          <w:color w:val="000000"/>
          <w:sz w:val="22"/>
          <w:szCs w:val="22"/>
        </w:rPr>
        <w:t xml:space="preserve"> </w:t>
      </w:r>
      <w:r w:rsidR="0017781B">
        <w:rPr>
          <w:color w:val="000000"/>
          <w:sz w:val="22"/>
          <w:szCs w:val="22"/>
        </w:rPr>
        <w:t xml:space="preserve">100 </w:t>
      </w:r>
      <w:r w:rsidR="0007702B" w:rsidRPr="00721267">
        <w:rPr>
          <w:color w:val="000000"/>
          <w:sz w:val="22"/>
          <w:szCs w:val="22"/>
        </w:rPr>
        <w:t>%</w:t>
      </w:r>
      <w:r w:rsidR="00A10D8D">
        <w:rPr>
          <w:color w:val="000000"/>
          <w:sz w:val="22"/>
          <w:szCs w:val="22"/>
        </w:rPr>
        <w:t xml:space="preserve">. </w:t>
      </w:r>
      <w:r w:rsidR="0000487F" w:rsidRPr="00721267">
        <w:rPr>
          <w:color w:val="000000"/>
          <w:sz w:val="22"/>
          <w:szCs w:val="22"/>
        </w:rPr>
        <w:t xml:space="preserve">A pénzintézeti szolgáltatások díjainál </w:t>
      </w:r>
      <w:r w:rsidR="00A10D8D">
        <w:rPr>
          <w:color w:val="000000"/>
          <w:sz w:val="22"/>
          <w:szCs w:val="22"/>
        </w:rPr>
        <w:t>600.000</w:t>
      </w:r>
      <w:r w:rsidR="001B7682" w:rsidRPr="00721267">
        <w:rPr>
          <w:color w:val="000000"/>
          <w:sz w:val="22"/>
          <w:szCs w:val="22"/>
        </w:rPr>
        <w:t xml:space="preserve"> </w:t>
      </w:r>
      <w:r w:rsidR="000F1832" w:rsidRPr="00721267">
        <w:rPr>
          <w:color w:val="000000"/>
          <w:sz w:val="22"/>
          <w:szCs w:val="22"/>
        </w:rPr>
        <w:t xml:space="preserve">Ft </w:t>
      </w:r>
      <w:r w:rsidR="00605CF3" w:rsidRPr="00721267">
        <w:rPr>
          <w:color w:val="000000"/>
          <w:sz w:val="22"/>
          <w:szCs w:val="22"/>
        </w:rPr>
        <w:t xml:space="preserve">a tervezett </w:t>
      </w:r>
      <w:r w:rsidR="0000487F" w:rsidRPr="00721267">
        <w:rPr>
          <w:color w:val="000000"/>
          <w:sz w:val="22"/>
          <w:szCs w:val="22"/>
        </w:rPr>
        <w:t>éves előirányzat</w:t>
      </w:r>
      <w:r w:rsidR="00A10D8D">
        <w:rPr>
          <w:color w:val="000000"/>
          <w:sz w:val="22"/>
          <w:szCs w:val="22"/>
        </w:rPr>
        <w:t>ból 307.662</w:t>
      </w:r>
      <w:r w:rsidR="00605CF3" w:rsidRPr="00721267">
        <w:rPr>
          <w:color w:val="000000"/>
          <w:sz w:val="22"/>
          <w:szCs w:val="22"/>
        </w:rPr>
        <w:t xml:space="preserve"> Ft</w:t>
      </w:r>
      <w:r w:rsidR="0000487F" w:rsidRPr="00721267">
        <w:rPr>
          <w:color w:val="000000"/>
          <w:sz w:val="22"/>
          <w:szCs w:val="22"/>
        </w:rPr>
        <w:t xml:space="preserve"> </w:t>
      </w:r>
      <w:r w:rsidR="000F1832" w:rsidRPr="00721267">
        <w:rPr>
          <w:color w:val="000000"/>
          <w:sz w:val="22"/>
          <w:szCs w:val="22"/>
        </w:rPr>
        <w:t>került felhasználásra</w:t>
      </w:r>
      <w:r w:rsidR="0000487F" w:rsidRPr="00721267">
        <w:rPr>
          <w:color w:val="000000"/>
          <w:sz w:val="22"/>
          <w:szCs w:val="22"/>
        </w:rPr>
        <w:t>, a vezeték</w:t>
      </w:r>
      <w:r w:rsidR="00D6132E" w:rsidRPr="00721267">
        <w:rPr>
          <w:color w:val="000000"/>
          <w:sz w:val="22"/>
          <w:szCs w:val="22"/>
        </w:rPr>
        <w:t>es</w:t>
      </w:r>
      <w:r w:rsidR="0000487F" w:rsidRPr="00721267">
        <w:rPr>
          <w:color w:val="000000"/>
          <w:sz w:val="22"/>
          <w:szCs w:val="22"/>
        </w:rPr>
        <w:t xml:space="preserve"> telefon</w:t>
      </w:r>
      <w:r w:rsidR="00D6132E" w:rsidRPr="00721267">
        <w:rPr>
          <w:color w:val="000000"/>
          <w:sz w:val="22"/>
          <w:szCs w:val="22"/>
        </w:rPr>
        <w:t>szolgáltatás díjainál</w:t>
      </w:r>
      <w:r w:rsidR="0000487F" w:rsidRPr="00721267">
        <w:rPr>
          <w:color w:val="000000"/>
          <w:sz w:val="22"/>
          <w:szCs w:val="22"/>
        </w:rPr>
        <w:t xml:space="preserve"> az éves megtakarítás</w:t>
      </w:r>
      <w:r w:rsidR="000F1832" w:rsidRPr="0072126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2.731</w:t>
      </w:r>
      <w:r w:rsidR="001B7682" w:rsidRPr="00721267">
        <w:rPr>
          <w:color w:val="000000"/>
          <w:sz w:val="22"/>
          <w:szCs w:val="22"/>
        </w:rPr>
        <w:t xml:space="preserve"> </w:t>
      </w:r>
      <w:r w:rsidR="0000487F" w:rsidRPr="00721267">
        <w:rPr>
          <w:color w:val="000000"/>
          <w:sz w:val="22"/>
          <w:szCs w:val="22"/>
        </w:rPr>
        <w:t>Ft</w:t>
      </w:r>
      <w:r>
        <w:rPr>
          <w:color w:val="000000"/>
          <w:sz w:val="22"/>
          <w:szCs w:val="22"/>
        </w:rPr>
        <w:t xml:space="preserve">+ Áfa </w:t>
      </w:r>
      <w:r w:rsidR="0000487F" w:rsidRPr="00721267">
        <w:rPr>
          <w:color w:val="000000"/>
          <w:sz w:val="22"/>
          <w:szCs w:val="22"/>
        </w:rPr>
        <w:t xml:space="preserve">volt. </w:t>
      </w:r>
      <w:r w:rsidR="005A3F84" w:rsidRPr="00721267">
        <w:rPr>
          <w:color w:val="000000"/>
          <w:sz w:val="22"/>
          <w:szCs w:val="22"/>
        </w:rPr>
        <w:t xml:space="preserve"> </w:t>
      </w:r>
      <w:r w:rsidR="00A543C5">
        <w:rPr>
          <w:color w:val="000000"/>
          <w:sz w:val="22"/>
          <w:szCs w:val="22"/>
        </w:rPr>
        <w:t>A bérleti díjak tervteljesítési mutatója 94,7</w:t>
      </w:r>
      <w:proofErr w:type="gramStart"/>
      <w:r w:rsidR="00A543C5">
        <w:rPr>
          <w:color w:val="000000"/>
          <w:sz w:val="22"/>
          <w:szCs w:val="22"/>
        </w:rPr>
        <w:t>%,  postai</w:t>
      </w:r>
      <w:proofErr w:type="gramEnd"/>
      <w:r w:rsidR="00A543C5">
        <w:rPr>
          <w:color w:val="000000"/>
          <w:sz w:val="22"/>
          <w:szCs w:val="22"/>
        </w:rPr>
        <w:t xml:space="preserve"> szolgáltatásoknál a</w:t>
      </w:r>
      <w:r w:rsidR="000E1E94">
        <w:rPr>
          <w:color w:val="000000"/>
          <w:sz w:val="22"/>
          <w:szCs w:val="22"/>
        </w:rPr>
        <w:t>z éves</w:t>
      </w:r>
      <w:r w:rsidR="00A543C5">
        <w:rPr>
          <w:color w:val="000000"/>
          <w:sz w:val="22"/>
          <w:szCs w:val="22"/>
        </w:rPr>
        <w:t xml:space="preserve"> mutató 50 %. </w:t>
      </w:r>
    </w:p>
    <w:p w14:paraId="25C599DD" w14:textId="77777777" w:rsidR="00223521" w:rsidRDefault="007373A4" w:rsidP="00605CF3">
      <w:pPr>
        <w:jc w:val="both"/>
        <w:rPr>
          <w:color w:val="000000"/>
          <w:sz w:val="22"/>
          <w:szCs w:val="22"/>
        </w:rPr>
      </w:pPr>
      <w:r w:rsidRPr="00663414">
        <w:rPr>
          <w:color w:val="000000"/>
          <w:sz w:val="22"/>
          <w:szCs w:val="22"/>
        </w:rPr>
        <w:t xml:space="preserve">A kötelező továbbképzések miatt a hivatali létszám után fizetendő összeg, </w:t>
      </w:r>
      <w:r w:rsidR="00605CF3">
        <w:rPr>
          <w:color w:val="000000"/>
          <w:sz w:val="22"/>
          <w:szCs w:val="22"/>
        </w:rPr>
        <w:t>6</w:t>
      </w:r>
      <w:r w:rsidR="00E93622">
        <w:rPr>
          <w:color w:val="000000"/>
          <w:sz w:val="22"/>
          <w:szCs w:val="22"/>
        </w:rPr>
        <w:t xml:space="preserve">20.708 </w:t>
      </w:r>
      <w:r w:rsidRPr="00663414">
        <w:rPr>
          <w:color w:val="000000"/>
          <w:sz w:val="22"/>
          <w:szCs w:val="22"/>
        </w:rPr>
        <w:t>Ft</w:t>
      </w:r>
      <w:r w:rsidR="00A01885" w:rsidRPr="00663414">
        <w:rPr>
          <w:color w:val="000000"/>
          <w:sz w:val="22"/>
          <w:szCs w:val="22"/>
        </w:rPr>
        <w:t>, a jogi szolgáltatás díja éves szinten 1.</w:t>
      </w:r>
      <w:r w:rsidR="00E93622">
        <w:rPr>
          <w:color w:val="000000"/>
          <w:sz w:val="22"/>
          <w:szCs w:val="22"/>
        </w:rPr>
        <w:t>0</w:t>
      </w:r>
      <w:r w:rsidR="00A01885" w:rsidRPr="00663414">
        <w:rPr>
          <w:color w:val="000000"/>
          <w:sz w:val="22"/>
          <w:szCs w:val="22"/>
        </w:rPr>
        <w:t xml:space="preserve">00.000 Ft+ Áfa volt. </w:t>
      </w:r>
    </w:p>
    <w:p w14:paraId="28AC6976" w14:textId="77777777" w:rsidR="00A504DD" w:rsidRDefault="00E93622" w:rsidP="00A504D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 karbantartási, kisjavítási szolgáltatások jogcímen belül a</w:t>
      </w:r>
      <w:r w:rsidR="00C83900">
        <w:rPr>
          <w:color w:val="000000"/>
          <w:sz w:val="22"/>
          <w:szCs w:val="22"/>
        </w:rPr>
        <w:t xml:space="preserve">z épület </w:t>
      </w:r>
      <w:proofErr w:type="spellStart"/>
      <w:r w:rsidR="00C83900">
        <w:rPr>
          <w:color w:val="000000"/>
          <w:sz w:val="22"/>
          <w:szCs w:val="22"/>
        </w:rPr>
        <w:t>tüzjelző</w:t>
      </w:r>
      <w:proofErr w:type="spellEnd"/>
      <w:r w:rsidR="00C83900">
        <w:rPr>
          <w:color w:val="000000"/>
          <w:sz w:val="22"/>
          <w:szCs w:val="22"/>
        </w:rPr>
        <w:t xml:space="preserve">-riasztó-felvonó-telefonrendszerének rendszeres felügyeleti kiadásai kerültek könyvelésre, ennek összege 1.674.207 </w:t>
      </w:r>
      <w:proofErr w:type="spellStart"/>
      <w:r w:rsidR="00C83900">
        <w:rPr>
          <w:color w:val="000000"/>
          <w:sz w:val="22"/>
          <w:szCs w:val="22"/>
        </w:rPr>
        <w:t>Ft+Áfa</w:t>
      </w:r>
      <w:proofErr w:type="spellEnd"/>
      <w:r w:rsidR="00C83900">
        <w:rPr>
          <w:color w:val="000000"/>
          <w:sz w:val="22"/>
          <w:szCs w:val="22"/>
        </w:rPr>
        <w:t xml:space="preserve">. </w:t>
      </w:r>
    </w:p>
    <w:p w14:paraId="795693DA" w14:textId="77777777" w:rsidR="00D61808" w:rsidRDefault="00D61808" w:rsidP="00A504D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 villamosenergia díjak tervteljesítési mutatója 100 %, a gázenergia teljesítési a módosított előirányzathoz viszonyítva 93.68 %, a vízdíjak esetében 95,09 % a mutatószám. </w:t>
      </w:r>
    </w:p>
    <w:p w14:paraId="0973170C" w14:textId="77777777" w:rsidR="00C83900" w:rsidRPr="00C83900" w:rsidRDefault="00C83900" w:rsidP="00A504DD">
      <w:pPr>
        <w:jc w:val="both"/>
        <w:rPr>
          <w:color w:val="000000"/>
          <w:sz w:val="22"/>
          <w:szCs w:val="22"/>
        </w:rPr>
      </w:pPr>
    </w:p>
    <w:p w14:paraId="1F47DCC9" w14:textId="77777777" w:rsidR="00602B84" w:rsidRPr="00602B84" w:rsidRDefault="00602B84" w:rsidP="00602B84">
      <w:pPr>
        <w:jc w:val="both"/>
        <w:rPr>
          <w:b/>
          <w:color w:val="000000"/>
          <w:sz w:val="22"/>
          <w:szCs w:val="22"/>
          <w:lang w:val="x-none" w:eastAsia="x-none"/>
        </w:rPr>
      </w:pPr>
      <w:r w:rsidRPr="00602B84">
        <w:rPr>
          <w:b/>
          <w:color w:val="000000"/>
          <w:sz w:val="22"/>
          <w:szCs w:val="22"/>
          <w:lang w:val="x-none" w:eastAsia="x-none"/>
        </w:rPr>
        <w:t>Önkormányzat</w:t>
      </w:r>
    </w:p>
    <w:p w14:paraId="22EDD20E" w14:textId="77777777" w:rsidR="00602B84" w:rsidRPr="00602B84" w:rsidRDefault="00602B84" w:rsidP="00602B84">
      <w:pPr>
        <w:jc w:val="right"/>
        <w:rPr>
          <w:sz w:val="22"/>
          <w:szCs w:val="22"/>
        </w:rPr>
      </w:pPr>
      <w:r w:rsidRPr="00602B84">
        <w:rPr>
          <w:sz w:val="22"/>
          <w:szCs w:val="22"/>
        </w:rPr>
        <w:t>adatok Ft-ban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3"/>
        <w:gridCol w:w="1825"/>
        <w:gridCol w:w="1691"/>
        <w:gridCol w:w="1826"/>
        <w:gridCol w:w="1535"/>
      </w:tblGrid>
      <w:tr w:rsidR="00602B84" w:rsidRPr="00602B84" w14:paraId="32B54BC1" w14:textId="77777777" w:rsidTr="00B14F86">
        <w:tc>
          <w:tcPr>
            <w:tcW w:w="1985" w:type="dxa"/>
            <w:shd w:val="clear" w:color="auto" w:fill="auto"/>
          </w:tcPr>
          <w:p w14:paraId="18A01E0F" w14:textId="77777777" w:rsidR="00602B84" w:rsidRPr="00602B84" w:rsidRDefault="00602B84" w:rsidP="00602B84">
            <w:pPr>
              <w:suppressAutoHyphens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602B84">
              <w:rPr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Pr="00602B84">
              <w:rPr>
                <w:bCs/>
                <w:sz w:val="22"/>
                <w:szCs w:val="22"/>
                <w:lang w:eastAsia="ar-SA"/>
              </w:rPr>
              <w:t xml:space="preserve">       </w:t>
            </w:r>
          </w:p>
        </w:tc>
        <w:tc>
          <w:tcPr>
            <w:tcW w:w="1842" w:type="dxa"/>
            <w:shd w:val="clear" w:color="auto" w:fill="auto"/>
          </w:tcPr>
          <w:p w14:paraId="51ADD70D" w14:textId="77777777" w:rsidR="00602B84" w:rsidRPr="00602B84" w:rsidRDefault="00602B84" w:rsidP="00602B84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 w:rsidRPr="00602B84">
              <w:rPr>
                <w:bCs/>
                <w:sz w:val="22"/>
                <w:szCs w:val="22"/>
                <w:lang w:eastAsia="ar-SA"/>
              </w:rPr>
              <w:t xml:space="preserve">Eredeti </w:t>
            </w:r>
            <w:proofErr w:type="spellStart"/>
            <w:r w:rsidRPr="00602B84">
              <w:rPr>
                <w:bCs/>
                <w:sz w:val="22"/>
                <w:szCs w:val="22"/>
                <w:lang w:eastAsia="ar-SA"/>
              </w:rPr>
              <w:t>ei</w:t>
            </w:r>
            <w:proofErr w:type="spellEnd"/>
            <w:r w:rsidRPr="00602B84">
              <w:rPr>
                <w:bCs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151FF101" w14:textId="77777777" w:rsidR="00602B84" w:rsidRPr="00602B84" w:rsidRDefault="00602B84" w:rsidP="00602B84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 w:rsidRPr="00602B84">
              <w:rPr>
                <w:bCs/>
                <w:sz w:val="22"/>
                <w:szCs w:val="22"/>
                <w:lang w:eastAsia="ar-SA"/>
              </w:rPr>
              <w:t xml:space="preserve">Módosított </w:t>
            </w:r>
            <w:proofErr w:type="spellStart"/>
            <w:r w:rsidRPr="00602B84">
              <w:rPr>
                <w:bCs/>
                <w:sz w:val="22"/>
                <w:szCs w:val="22"/>
                <w:lang w:eastAsia="ar-SA"/>
              </w:rPr>
              <w:t>ei</w:t>
            </w:r>
            <w:proofErr w:type="spellEnd"/>
            <w:r w:rsidRPr="00602B84">
              <w:rPr>
                <w:bCs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056D80B1" w14:textId="77777777" w:rsidR="00602B84" w:rsidRPr="00602B84" w:rsidRDefault="00602B84" w:rsidP="00602B84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 w:rsidRPr="00602B84">
              <w:rPr>
                <w:bCs/>
                <w:sz w:val="22"/>
                <w:szCs w:val="22"/>
                <w:lang w:eastAsia="ar-SA"/>
              </w:rPr>
              <w:t>Teljesítés</w:t>
            </w:r>
          </w:p>
        </w:tc>
        <w:tc>
          <w:tcPr>
            <w:tcW w:w="1559" w:type="dxa"/>
            <w:shd w:val="clear" w:color="auto" w:fill="auto"/>
          </w:tcPr>
          <w:p w14:paraId="54EECB29" w14:textId="77777777" w:rsidR="00602B84" w:rsidRPr="00602B84" w:rsidRDefault="00602B84" w:rsidP="00602B84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 w:rsidRPr="00602B84">
              <w:rPr>
                <w:bCs/>
                <w:sz w:val="22"/>
                <w:szCs w:val="22"/>
                <w:lang w:eastAsia="ar-SA"/>
              </w:rPr>
              <w:t xml:space="preserve">Teljesítés </w:t>
            </w:r>
          </w:p>
          <w:p w14:paraId="67F4BAF6" w14:textId="77777777" w:rsidR="00602B84" w:rsidRPr="00602B84" w:rsidRDefault="00602B84" w:rsidP="00602B84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 w:rsidRPr="00602B84">
              <w:rPr>
                <w:bCs/>
                <w:sz w:val="22"/>
                <w:szCs w:val="22"/>
                <w:lang w:eastAsia="ar-SA"/>
              </w:rPr>
              <w:t>(%)</w:t>
            </w:r>
          </w:p>
        </w:tc>
      </w:tr>
      <w:tr w:rsidR="00602B84" w:rsidRPr="00602B84" w14:paraId="0B9913E1" w14:textId="77777777" w:rsidTr="00B14F86">
        <w:tc>
          <w:tcPr>
            <w:tcW w:w="1985" w:type="dxa"/>
            <w:shd w:val="clear" w:color="auto" w:fill="auto"/>
          </w:tcPr>
          <w:p w14:paraId="70280387" w14:textId="77777777" w:rsidR="00602B84" w:rsidRPr="00602B84" w:rsidRDefault="00602B84" w:rsidP="00602B84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602B84">
              <w:rPr>
                <w:bCs/>
                <w:sz w:val="22"/>
                <w:szCs w:val="22"/>
                <w:lang w:eastAsia="ar-SA"/>
              </w:rPr>
              <w:t>Bevétel</w:t>
            </w:r>
          </w:p>
        </w:tc>
        <w:tc>
          <w:tcPr>
            <w:tcW w:w="1842" w:type="dxa"/>
            <w:shd w:val="clear" w:color="auto" w:fill="auto"/>
          </w:tcPr>
          <w:p w14:paraId="4A1C38C5" w14:textId="77777777" w:rsidR="00602B84" w:rsidRPr="00602B84" w:rsidRDefault="00B14F86" w:rsidP="00602B84">
            <w:pPr>
              <w:suppressAutoHyphens/>
              <w:jc w:val="right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3.004.717.420</w:t>
            </w:r>
            <w:r w:rsidR="00602B84" w:rsidRPr="00602B84">
              <w:rPr>
                <w:bCs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37BAB89B" w14:textId="77777777" w:rsidR="00602B84" w:rsidRPr="00602B84" w:rsidRDefault="00B14F86" w:rsidP="00602B84">
            <w:pPr>
              <w:suppressAutoHyphens/>
              <w:jc w:val="right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3.083.683.011</w:t>
            </w:r>
            <w:r w:rsidR="00602B84" w:rsidRPr="00602B84">
              <w:rPr>
                <w:bCs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1148E063" w14:textId="77777777" w:rsidR="00602B84" w:rsidRPr="00602B84" w:rsidRDefault="00B373A2" w:rsidP="00602B84">
            <w:pPr>
              <w:suppressAutoHyphens/>
              <w:jc w:val="right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2.386.392.734</w:t>
            </w:r>
            <w:r w:rsidR="00542937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602B84" w:rsidRPr="00602B84">
              <w:rPr>
                <w:bCs/>
                <w:sz w:val="22"/>
                <w:szCs w:val="22"/>
                <w:lang w:eastAsia="ar-SA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</w:tcPr>
          <w:p w14:paraId="33D4F3C8" w14:textId="77777777" w:rsidR="00602B84" w:rsidRPr="00602B84" w:rsidRDefault="00542937" w:rsidP="00602B84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602B84" w:rsidRPr="00602B84">
              <w:rPr>
                <w:bCs/>
                <w:sz w:val="22"/>
                <w:szCs w:val="22"/>
                <w:lang w:eastAsia="ar-SA"/>
              </w:rPr>
              <w:t xml:space="preserve">   </w:t>
            </w:r>
            <w:r w:rsidR="00B373A2">
              <w:rPr>
                <w:bCs/>
                <w:sz w:val="22"/>
                <w:szCs w:val="22"/>
                <w:lang w:eastAsia="ar-SA"/>
              </w:rPr>
              <w:t>78 %</w:t>
            </w:r>
          </w:p>
        </w:tc>
      </w:tr>
      <w:tr w:rsidR="00B373A2" w:rsidRPr="00602B84" w14:paraId="16646A11" w14:textId="77777777" w:rsidTr="00B14F86">
        <w:tc>
          <w:tcPr>
            <w:tcW w:w="1985" w:type="dxa"/>
            <w:shd w:val="clear" w:color="auto" w:fill="auto"/>
          </w:tcPr>
          <w:p w14:paraId="0A9C5883" w14:textId="77777777" w:rsidR="00B373A2" w:rsidRPr="00602B84" w:rsidRDefault="00B373A2" w:rsidP="00B373A2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602B84">
              <w:rPr>
                <w:bCs/>
                <w:sz w:val="22"/>
                <w:szCs w:val="22"/>
                <w:lang w:eastAsia="ar-SA"/>
              </w:rPr>
              <w:t>Kiadás</w:t>
            </w:r>
          </w:p>
        </w:tc>
        <w:tc>
          <w:tcPr>
            <w:tcW w:w="1842" w:type="dxa"/>
            <w:shd w:val="clear" w:color="auto" w:fill="auto"/>
          </w:tcPr>
          <w:p w14:paraId="2AFC4ECA" w14:textId="77777777" w:rsidR="00B373A2" w:rsidRPr="00602B84" w:rsidRDefault="00B373A2" w:rsidP="00B373A2">
            <w:pPr>
              <w:suppressAutoHyphens/>
              <w:jc w:val="right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3.004.717.420</w:t>
            </w:r>
            <w:r w:rsidRPr="00602B84">
              <w:rPr>
                <w:bCs/>
                <w:sz w:val="22"/>
                <w:szCs w:val="22"/>
                <w:lang w:eastAsia="ar-SA"/>
              </w:rPr>
              <w:t xml:space="preserve">     </w:t>
            </w:r>
          </w:p>
        </w:tc>
        <w:tc>
          <w:tcPr>
            <w:tcW w:w="1701" w:type="dxa"/>
            <w:shd w:val="clear" w:color="auto" w:fill="auto"/>
          </w:tcPr>
          <w:p w14:paraId="2C6773E0" w14:textId="77777777" w:rsidR="00B373A2" w:rsidRPr="00602B84" w:rsidRDefault="00B373A2" w:rsidP="00B373A2">
            <w:pPr>
              <w:suppressAutoHyphens/>
              <w:jc w:val="right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3.083.683.011</w:t>
            </w:r>
            <w:r w:rsidRPr="00602B84">
              <w:rPr>
                <w:bCs/>
                <w:sz w:val="22"/>
                <w:szCs w:val="22"/>
                <w:lang w:eastAsia="ar-SA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</w:tcPr>
          <w:p w14:paraId="17D51FB6" w14:textId="77777777" w:rsidR="00B373A2" w:rsidRPr="00602B84" w:rsidRDefault="00B373A2" w:rsidP="00B373A2">
            <w:pPr>
              <w:suppressAutoHyphens/>
              <w:jc w:val="right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1.702.090.359 </w:t>
            </w:r>
            <w:r w:rsidRPr="00602B84">
              <w:rPr>
                <w:bCs/>
                <w:sz w:val="22"/>
                <w:szCs w:val="22"/>
                <w:lang w:eastAsia="ar-SA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</w:tcPr>
          <w:p w14:paraId="662E3998" w14:textId="77777777" w:rsidR="00B373A2" w:rsidRPr="00602B84" w:rsidRDefault="00B373A2" w:rsidP="00B373A2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602B84">
              <w:rPr>
                <w:bCs/>
                <w:sz w:val="22"/>
                <w:szCs w:val="22"/>
                <w:lang w:eastAsia="ar-SA"/>
              </w:rPr>
              <w:t xml:space="preserve">  </w:t>
            </w:r>
            <w:r>
              <w:rPr>
                <w:bCs/>
                <w:sz w:val="22"/>
                <w:szCs w:val="22"/>
                <w:lang w:eastAsia="ar-SA"/>
              </w:rPr>
              <w:t xml:space="preserve">       56 %</w:t>
            </w:r>
          </w:p>
        </w:tc>
      </w:tr>
    </w:tbl>
    <w:p w14:paraId="2545CC98" w14:textId="77777777" w:rsidR="00602B84" w:rsidRPr="00602B84" w:rsidRDefault="00602B84" w:rsidP="00602B84">
      <w:pPr>
        <w:rPr>
          <w:b/>
          <w:color w:val="000000"/>
          <w:sz w:val="22"/>
          <w:szCs w:val="22"/>
          <w:highlight w:val="yellow"/>
        </w:rPr>
      </w:pPr>
    </w:p>
    <w:p w14:paraId="01C6A276" w14:textId="77777777" w:rsidR="00602B84" w:rsidRPr="00602B84" w:rsidRDefault="00602B84" w:rsidP="00602B84">
      <w:pPr>
        <w:jc w:val="both"/>
        <w:rPr>
          <w:color w:val="000000"/>
          <w:sz w:val="22"/>
          <w:szCs w:val="22"/>
        </w:rPr>
      </w:pPr>
      <w:r w:rsidRPr="00602B84">
        <w:rPr>
          <w:color w:val="000000"/>
          <w:sz w:val="22"/>
          <w:szCs w:val="22"/>
        </w:rPr>
        <w:t xml:space="preserve">Az önkormányzat működésének általános támogatására </w:t>
      </w:r>
      <w:r w:rsidR="00FD49E6">
        <w:rPr>
          <w:color w:val="000000"/>
          <w:sz w:val="22"/>
          <w:szCs w:val="22"/>
        </w:rPr>
        <w:t>2653.818.377</w:t>
      </w:r>
      <w:r w:rsidR="001B7682">
        <w:rPr>
          <w:color w:val="000000"/>
          <w:sz w:val="22"/>
          <w:szCs w:val="22"/>
        </w:rPr>
        <w:t xml:space="preserve"> </w:t>
      </w:r>
      <w:r w:rsidRPr="00602B84">
        <w:rPr>
          <w:color w:val="000000"/>
          <w:sz w:val="22"/>
          <w:szCs w:val="22"/>
        </w:rPr>
        <w:t>Ft, egyes köznevelési feladatokra</w:t>
      </w:r>
      <w:r w:rsidR="004D4259">
        <w:rPr>
          <w:color w:val="000000"/>
          <w:sz w:val="22"/>
          <w:szCs w:val="22"/>
        </w:rPr>
        <w:t xml:space="preserve"> 176.232.375</w:t>
      </w:r>
      <w:r w:rsidRPr="00602B84">
        <w:rPr>
          <w:color w:val="000000"/>
          <w:sz w:val="22"/>
          <w:szCs w:val="22"/>
        </w:rPr>
        <w:t>Ft, szociális és gyermekjóléti feladatokra</w:t>
      </w:r>
      <w:r w:rsidR="004D4259">
        <w:rPr>
          <w:color w:val="000000"/>
          <w:sz w:val="22"/>
          <w:szCs w:val="22"/>
        </w:rPr>
        <w:t xml:space="preserve"> 167.250.870 </w:t>
      </w:r>
      <w:r w:rsidRPr="00602B84">
        <w:rPr>
          <w:color w:val="000000"/>
          <w:sz w:val="22"/>
          <w:szCs w:val="22"/>
        </w:rPr>
        <w:t xml:space="preserve">Ft, </w:t>
      </w:r>
      <w:r w:rsidR="004D4259">
        <w:rPr>
          <w:color w:val="000000"/>
          <w:sz w:val="22"/>
          <w:szCs w:val="22"/>
        </w:rPr>
        <w:t xml:space="preserve">gyermekétkeztetésre 77.993.766 Ft, </w:t>
      </w:r>
      <w:r w:rsidRPr="00602B84">
        <w:rPr>
          <w:color w:val="000000"/>
          <w:sz w:val="22"/>
          <w:szCs w:val="22"/>
        </w:rPr>
        <w:t xml:space="preserve">kulturális feladatokra </w:t>
      </w:r>
      <w:r w:rsidR="004D4259">
        <w:rPr>
          <w:color w:val="000000"/>
          <w:sz w:val="22"/>
          <w:szCs w:val="22"/>
        </w:rPr>
        <w:t>15.840.907</w:t>
      </w:r>
      <w:r w:rsidR="001B7682">
        <w:rPr>
          <w:color w:val="000000"/>
          <w:sz w:val="22"/>
          <w:szCs w:val="22"/>
        </w:rPr>
        <w:t xml:space="preserve"> </w:t>
      </w:r>
      <w:r w:rsidRPr="00602B84">
        <w:rPr>
          <w:color w:val="000000"/>
          <w:sz w:val="22"/>
          <w:szCs w:val="22"/>
        </w:rPr>
        <w:t xml:space="preserve">Ft, helyi önkormányzatok kiegészítő támogatására </w:t>
      </w:r>
      <w:proofErr w:type="gramStart"/>
      <w:r w:rsidR="004D4259">
        <w:rPr>
          <w:color w:val="000000"/>
          <w:sz w:val="22"/>
          <w:szCs w:val="22"/>
        </w:rPr>
        <w:t>480.900</w:t>
      </w:r>
      <w:r w:rsidR="001B7682">
        <w:rPr>
          <w:color w:val="000000"/>
          <w:sz w:val="22"/>
          <w:szCs w:val="22"/>
        </w:rPr>
        <w:t xml:space="preserve">  </w:t>
      </w:r>
      <w:r w:rsidRPr="00602B84">
        <w:rPr>
          <w:color w:val="000000"/>
          <w:sz w:val="22"/>
          <w:szCs w:val="22"/>
        </w:rPr>
        <w:t>Ft</w:t>
      </w:r>
      <w:proofErr w:type="gramEnd"/>
      <w:r w:rsidRPr="00602B84">
        <w:rPr>
          <w:color w:val="000000"/>
          <w:sz w:val="22"/>
          <w:szCs w:val="22"/>
        </w:rPr>
        <w:t xml:space="preserve"> érkezett.</w:t>
      </w:r>
    </w:p>
    <w:p w14:paraId="3C534808" w14:textId="77777777" w:rsidR="00602B84" w:rsidRPr="00602B84" w:rsidRDefault="00602B84" w:rsidP="00602B84">
      <w:pPr>
        <w:jc w:val="both"/>
        <w:rPr>
          <w:color w:val="000000"/>
          <w:sz w:val="22"/>
          <w:szCs w:val="22"/>
        </w:rPr>
      </w:pPr>
      <w:r w:rsidRPr="00602B84">
        <w:rPr>
          <w:color w:val="000000"/>
          <w:sz w:val="22"/>
          <w:szCs w:val="22"/>
        </w:rPr>
        <w:t xml:space="preserve">Felhalmozási célú támogatás címén </w:t>
      </w:r>
      <w:r w:rsidR="00A24BD1">
        <w:rPr>
          <w:color w:val="000000"/>
          <w:sz w:val="22"/>
          <w:szCs w:val="22"/>
        </w:rPr>
        <w:t xml:space="preserve">1.955.310 </w:t>
      </w:r>
      <w:r w:rsidRPr="00602B84">
        <w:rPr>
          <w:color w:val="000000"/>
          <w:sz w:val="22"/>
          <w:szCs w:val="22"/>
        </w:rPr>
        <w:t xml:space="preserve">Ft-ot kapott az önkormányzat. </w:t>
      </w:r>
      <w:r w:rsidR="00A24BD1">
        <w:rPr>
          <w:color w:val="000000"/>
          <w:sz w:val="22"/>
          <w:szCs w:val="22"/>
        </w:rPr>
        <w:t xml:space="preserve"> </w:t>
      </w:r>
    </w:p>
    <w:p w14:paraId="61FF3977" w14:textId="77777777" w:rsidR="00602B84" w:rsidRPr="00602B84" w:rsidRDefault="00602B84" w:rsidP="00602B84">
      <w:pPr>
        <w:jc w:val="both"/>
        <w:rPr>
          <w:color w:val="000000"/>
          <w:sz w:val="22"/>
          <w:szCs w:val="22"/>
        </w:rPr>
      </w:pPr>
      <w:r w:rsidRPr="00602B84">
        <w:rPr>
          <w:color w:val="000000"/>
          <w:sz w:val="22"/>
          <w:szCs w:val="22"/>
        </w:rPr>
        <w:t xml:space="preserve">Az előző évi maradvány igénybevétele címén </w:t>
      </w:r>
      <w:r w:rsidR="00A24BD1">
        <w:rPr>
          <w:color w:val="000000"/>
          <w:sz w:val="22"/>
          <w:szCs w:val="22"/>
        </w:rPr>
        <w:t>552.334.316</w:t>
      </w:r>
      <w:r w:rsidR="001B7682">
        <w:rPr>
          <w:color w:val="000000"/>
          <w:sz w:val="22"/>
          <w:szCs w:val="22"/>
        </w:rPr>
        <w:t xml:space="preserve"> </w:t>
      </w:r>
      <w:r w:rsidRPr="00602B84">
        <w:rPr>
          <w:color w:val="000000"/>
          <w:sz w:val="22"/>
          <w:szCs w:val="22"/>
        </w:rPr>
        <w:t xml:space="preserve">Ft került a számvitelben rögzítésre, mely tartalmazza a beruházásokhoz kapcsolódó EU-s támogatások összegét is. </w:t>
      </w:r>
    </w:p>
    <w:p w14:paraId="174C83EB" w14:textId="77777777" w:rsidR="00602B84" w:rsidRPr="00602B84" w:rsidRDefault="00602B84" w:rsidP="00602B84">
      <w:pPr>
        <w:jc w:val="both"/>
        <w:rPr>
          <w:color w:val="000000"/>
          <w:sz w:val="22"/>
          <w:szCs w:val="22"/>
        </w:rPr>
      </w:pPr>
      <w:r w:rsidRPr="00602B84">
        <w:rPr>
          <w:color w:val="000000"/>
          <w:sz w:val="22"/>
          <w:szCs w:val="22"/>
        </w:rPr>
        <w:t xml:space="preserve">Az előző év végén megelőlegezett nettó finanszírozás tárgyévre jóváírt összege </w:t>
      </w:r>
      <w:r w:rsidR="008C602E">
        <w:rPr>
          <w:color w:val="000000"/>
          <w:sz w:val="22"/>
          <w:szCs w:val="22"/>
        </w:rPr>
        <w:t xml:space="preserve">32.558.975 </w:t>
      </w:r>
      <w:r w:rsidRPr="00602B84">
        <w:rPr>
          <w:color w:val="000000"/>
          <w:sz w:val="22"/>
          <w:szCs w:val="22"/>
        </w:rPr>
        <w:t xml:space="preserve">Ft volt. </w:t>
      </w:r>
    </w:p>
    <w:p w14:paraId="6D6D813F" w14:textId="0F827B55" w:rsidR="00602B84" w:rsidRPr="00602B84" w:rsidRDefault="00602B84" w:rsidP="00602B84">
      <w:pPr>
        <w:jc w:val="both"/>
        <w:rPr>
          <w:bCs/>
          <w:color w:val="000000"/>
          <w:sz w:val="22"/>
          <w:szCs w:val="22"/>
        </w:rPr>
      </w:pPr>
      <w:r w:rsidRPr="00602B84">
        <w:rPr>
          <w:color w:val="000000"/>
          <w:sz w:val="22"/>
          <w:szCs w:val="22"/>
        </w:rPr>
        <w:t xml:space="preserve">Helyi adó bevételek alakulását a 10. sz. melléklet mutatja be részletesen. A magánszemélyek kommunális adója címén a tervezett éves módosított előirányzat </w:t>
      </w:r>
      <w:proofErr w:type="gramStart"/>
      <w:r w:rsidR="008C602E">
        <w:rPr>
          <w:color w:val="000000"/>
          <w:sz w:val="22"/>
          <w:szCs w:val="22"/>
        </w:rPr>
        <w:t>14.669.715</w:t>
      </w:r>
      <w:r w:rsidR="001B7682">
        <w:rPr>
          <w:color w:val="000000"/>
          <w:sz w:val="22"/>
          <w:szCs w:val="22"/>
        </w:rPr>
        <w:t xml:space="preserve">  </w:t>
      </w:r>
      <w:r w:rsidRPr="00602B84">
        <w:rPr>
          <w:color w:val="000000"/>
          <w:sz w:val="22"/>
          <w:szCs w:val="22"/>
        </w:rPr>
        <w:t>Ft</w:t>
      </w:r>
      <w:proofErr w:type="gramEnd"/>
      <w:r w:rsidRPr="00602B84">
        <w:rPr>
          <w:color w:val="000000"/>
          <w:sz w:val="22"/>
          <w:szCs w:val="22"/>
        </w:rPr>
        <w:t xml:space="preserve">, a teljesítés </w:t>
      </w:r>
      <w:r w:rsidR="008C602E">
        <w:rPr>
          <w:color w:val="000000"/>
          <w:sz w:val="22"/>
          <w:szCs w:val="22"/>
        </w:rPr>
        <w:t>15.851.079</w:t>
      </w:r>
      <w:r w:rsidR="001B7682">
        <w:rPr>
          <w:color w:val="000000"/>
          <w:sz w:val="22"/>
          <w:szCs w:val="22"/>
        </w:rPr>
        <w:t xml:space="preserve">  </w:t>
      </w:r>
      <w:r w:rsidRPr="00602B84">
        <w:rPr>
          <w:color w:val="000000"/>
          <w:sz w:val="22"/>
          <w:szCs w:val="22"/>
        </w:rPr>
        <w:t>Ft.  Az idegenforgalmi adóbevétel módosított előirányzata 1</w:t>
      </w:r>
      <w:r w:rsidR="00222F25">
        <w:rPr>
          <w:color w:val="000000"/>
          <w:sz w:val="22"/>
          <w:szCs w:val="22"/>
        </w:rPr>
        <w:t>.675.</w:t>
      </w:r>
      <w:r w:rsidR="008C602E">
        <w:rPr>
          <w:color w:val="000000"/>
          <w:sz w:val="22"/>
          <w:szCs w:val="22"/>
        </w:rPr>
        <w:t>419</w:t>
      </w:r>
      <w:r w:rsidR="001B7682">
        <w:rPr>
          <w:color w:val="000000"/>
          <w:sz w:val="22"/>
          <w:szCs w:val="22"/>
        </w:rPr>
        <w:t xml:space="preserve">  </w:t>
      </w:r>
      <w:r w:rsidRPr="00602B84">
        <w:rPr>
          <w:color w:val="000000"/>
          <w:sz w:val="22"/>
          <w:szCs w:val="22"/>
        </w:rPr>
        <w:t xml:space="preserve"> Ft, a befolyt bevétel </w:t>
      </w:r>
      <w:r w:rsidR="008C602E">
        <w:rPr>
          <w:color w:val="000000"/>
          <w:sz w:val="22"/>
          <w:szCs w:val="22"/>
        </w:rPr>
        <w:t>784.200</w:t>
      </w:r>
      <w:r w:rsidRPr="00602B84">
        <w:rPr>
          <w:color w:val="000000"/>
          <w:sz w:val="22"/>
          <w:szCs w:val="22"/>
        </w:rPr>
        <w:t xml:space="preserve">Ft. </w:t>
      </w:r>
      <w:r w:rsidRPr="00602B84">
        <w:rPr>
          <w:bCs/>
          <w:color w:val="000000"/>
          <w:sz w:val="22"/>
          <w:szCs w:val="22"/>
        </w:rPr>
        <w:t>A helyi</w:t>
      </w:r>
      <w:r w:rsidRPr="00602B84">
        <w:rPr>
          <w:color w:val="000000"/>
          <w:sz w:val="22"/>
          <w:szCs w:val="22"/>
        </w:rPr>
        <w:t xml:space="preserve"> iparűzési adó bevétel módosított előirányzata </w:t>
      </w:r>
      <w:r w:rsidR="00CF295C">
        <w:rPr>
          <w:color w:val="000000"/>
          <w:sz w:val="22"/>
          <w:szCs w:val="22"/>
        </w:rPr>
        <w:t>345.986.427 Ft</w:t>
      </w:r>
      <w:r w:rsidRPr="00602B84">
        <w:rPr>
          <w:color w:val="000000"/>
          <w:sz w:val="22"/>
          <w:szCs w:val="22"/>
        </w:rPr>
        <w:t xml:space="preserve">, a    teljesítés </w:t>
      </w:r>
      <w:proofErr w:type="gramStart"/>
      <w:r w:rsidR="008C602E">
        <w:rPr>
          <w:color w:val="000000"/>
          <w:sz w:val="22"/>
          <w:szCs w:val="22"/>
        </w:rPr>
        <w:t>344.524.119</w:t>
      </w:r>
      <w:r w:rsidR="001B7682">
        <w:rPr>
          <w:color w:val="000000"/>
          <w:sz w:val="22"/>
          <w:szCs w:val="22"/>
        </w:rPr>
        <w:t xml:space="preserve">  </w:t>
      </w:r>
      <w:r w:rsidRPr="00602B84">
        <w:rPr>
          <w:color w:val="000000"/>
          <w:sz w:val="22"/>
          <w:szCs w:val="22"/>
        </w:rPr>
        <w:t>Ft</w:t>
      </w:r>
      <w:proofErr w:type="gramEnd"/>
      <w:r w:rsidRPr="00602B84">
        <w:rPr>
          <w:color w:val="000000"/>
          <w:sz w:val="22"/>
          <w:szCs w:val="22"/>
        </w:rPr>
        <w:t xml:space="preserve"> volt. </w:t>
      </w:r>
      <w:r w:rsidRPr="00602B84">
        <w:rPr>
          <w:bCs/>
          <w:color w:val="000000"/>
          <w:sz w:val="22"/>
          <w:szCs w:val="22"/>
        </w:rPr>
        <w:t>Talajterhelési díjként tervezett 20</w:t>
      </w:r>
      <w:r w:rsidR="008C602E">
        <w:rPr>
          <w:bCs/>
          <w:color w:val="000000"/>
          <w:sz w:val="22"/>
          <w:szCs w:val="22"/>
        </w:rPr>
        <w:t>20</w:t>
      </w:r>
      <w:r w:rsidRPr="00602B84">
        <w:rPr>
          <w:bCs/>
          <w:color w:val="000000"/>
          <w:sz w:val="22"/>
          <w:szCs w:val="22"/>
        </w:rPr>
        <w:t xml:space="preserve">. évi bevételi eredeti előirányzat </w:t>
      </w:r>
      <w:r w:rsidR="008C602E">
        <w:rPr>
          <w:bCs/>
          <w:color w:val="000000"/>
          <w:sz w:val="22"/>
          <w:szCs w:val="22"/>
        </w:rPr>
        <w:t>1.462.320</w:t>
      </w:r>
      <w:r w:rsidR="001B7682">
        <w:rPr>
          <w:bCs/>
          <w:color w:val="000000"/>
          <w:sz w:val="22"/>
          <w:szCs w:val="22"/>
        </w:rPr>
        <w:t xml:space="preserve"> </w:t>
      </w:r>
      <w:r w:rsidRPr="00602B84">
        <w:rPr>
          <w:bCs/>
          <w:color w:val="000000"/>
          <w:sz w:val="22"/>
          <w:szCs w:val="22"/>
        </w:rPr>
        <w:t xml:space="preserve">Ft, a teljesítés </w:t>
      </w:r>
      <w:proofErr w:type="gramStart"/>
      <w:r w:rsidR="008C602E">
        <w:rPr>
          <w:bCs/>
          <w:color w:val="000000"/>
          <w:sz w:val="22"/>
          <w:szCs w:val="22"/>
        </w:rPr>
        <w:t>412.585</w:t>
      </w:r>
      <w:r w:rsidR="001B7682">
        <w:rPr>
          <w:bCs/>
          <w:color w:val="000000"/>
          <w:sz w:val="22"/>
          <w:szCs w:val="22"/>
        </w:rPr>
        <w:t xml:space="preserve">  </w:t>
      </w:r>
      <w:r w:rsidRPr="00602B84">
        <w:rPr>
          <w:bCs/>
          <w:color w:val="000000"/>
          <w:sz w:val="22"/>
          <w:szCs w:val="22"/>
        </w:rPr>
        <w:t>Ft.</w:t>
      </w:r>
      <w:proofErr w:type="gramEnd"/>
      <w:r w:rsidRPr="00602B84">
        <w:rPr>
          <w:bCs/>
          <w:color w:val="000000"/>
          <w:sz w:val="22"/>
          <w:szCs w:val="22"/>
        </w:rPr>
        <w:t xml:space="preserve"> </w:t>
      </w:r>
      <w:r w:rsidR="0027638F">
        <w:rPr>
          <w:bCs/>
          <w:color w:val="000000"/>
          <w:sz w:val="22"/>
          <w:szCs w:val="22"/>
        </w:rPr>
        <w:t xml:space="preserve">Termőföld bérebadásából származó bevétel címén tervadat nem volt, a teljesítés összege </w:t>
      </w:r>
      <w:r w:rsidR="008C602E">
        <w:rPr>
          <w:bCs/>
          <w:color w:val="000000"/>
          <w:sz w:val="22"/>
          <w:szCs w:val="22"/>
        </w:rPr>
        <w:t>24.107</w:t>
      </w:r>
      <w:r w:rsidR="001B7682">
        <w:rPr>
          <w:bCs/>
          <w:color w:val="000000"/>
          <w:sz w:val="22"/>
          <w:szCs w:val="22"/>
        </w:rPr>
        <w:t xml:space="preserve">  </w:t>
      </w:r>
      <w:r w:rsidR="0027638F">
        <w:rPr>
          <w:bCs/>
          <w:color w:val="000000"/>
          <w:sz w:val="22"/>
          <w:szCs w:val="22"/>
        </w:rPr>
        <w:t xml:space="preserve"> Ft volt. </w:t>
      </w:r>
      <w:r w:rsidRPr="00602B84">
        <w:rPr>
          <w:color w:val="000000"/>
          <w:sz w:val="22"/>
          <w:szCs w:val="22"/>
        </w:rPr>
        <w:t xml:space="preserve">Átengedett közhatalmi bevétel a </w:t>
      </w:r>
      <w:r w:rsidRPr="00602B84">
        <w:rPr>
          <w:bCs/>
          <w:color w:val="000000"/>
          <w:sz w:val="22"/>
          <w:szCs w:val="22"/>
        </w:rPr>
        <w:t>gépjárműadó</w:t>
      </w:r>
      <w:r w:rsidRPr="00602B84">
        <w:rPr>
          <w:color w:val="000000"/>
          <w:sz w:val="22"/>
          <w:szCs w:val="22"/>
        </w:rPr>
        <w:t xml:space="preserve">, melynek az önkormányzatnál maradó 40 %-os rész éves eredeti előirányzata </w:t>
      </w:r>
      <w:r w:rsidR="008C602E">
        <w:rPr>
          <w:color w:val="000000"/>
          <w:sz w:val="22"/>
          <w:szCs w:val="22"/>
        </w:rPr>
        <w:t>20.106.368</w:t>
      </w:r>
      <w:r w:rsidR="001B7682">
        <w:rPr>
          <w:color w:val="000000"/>
          <w:sz w:val="22"/>
          <w:szCs w:val="22"/>
        </w:rPr>
        <w:t xml:space="preserve">  </w:t>
      </w:r>
      <w:r w:rsidRPr="00602B84">
        <w:rPr>
          <w:color w:val="000000"/>
          <w:sz w:val="22"/>
          <w:szCs w:val="22"/>
        </w:rPr>
        <w:t xml:space="preserve"> Ft, a teljesítés </w:t>
      </w:r>
      <w:r w:rsidR="008C602E">
        <w:rPr>
          <w:color w:val="000000"/>
          <w:sz w:val="22"/>
          <w:szCs w:val="22"/>
        </w:rPr>
        <w:t>160.652</w:t>
      </w:r>
      <w:r w:rsidR="001B7682">
        <w:rPr>
          <w:color w:val="000000"/>
          <w:sz w:val="22"/>
          <w:szCs w:val="22"/>
        </w:rPr>
        <w:t xml:space="preserve">  </w:t>
      </w:r>
      <w:r w:rsidRPr="00602B84">
        <w:rPr>
          <w:color w:val="000000"/>
          <w:sz w:val="22"/>
          <w:szCs w:val="22"/>
        </w:rPr>
        <w:t xml:space="preserve"> Ft volt</w:t>
      </w:r>
      <w:r w:rsidR="008C602E">
        <w:rPr>
          <w:color w:val="000000"/>
          <w:sz w:val="22"/>
          <w:szCs w:val="22"/>
        </w:rPr>
        <w:t>, mivel év közben a járványhelyzet miatt ezen bevétel a központi költségvetés bevételét képezi teljes mértékben</w:t>
      </w:r>
      <w:r w:rsidRPr="00602B84">
        <w:rPr>
          <w:color w:val="000000"/>
          <w:sz w:val="22"/>
          <w:szCs w:val="22"/>
        </w:rPr>
        <w:t xml:space="preserve">. </w:t>
      </w:r>
    </w:p>
    <w:p w14:paraId="1D04348A" w14:textId="77777777" w:rsidR="00602B84" w:rsidRPr="00602B84" w:rsidRDefault="00602B84" w:rsidP="00602B84">
      <w:pPr>
        <w:tabs>
          <w:tab w:val="left" w:pos="4860"/>
        </w:tabs>
        <w:jc w:val="both"/>
        <w:rPr>
          <w:color w:val="000000"/>
          <w:sz w:val="22"/>
          <w:szCs w:val="22"/>
        </w:rPr>
      </w:pPr>
      <w:r w:rsidRPr="00602B84">
        <w:rPr>
          <w:color w:val="000000"/>
          <w:sz w:val="22"/>
          <w:szCs w:val="22"/>
        </w:rPr>
        <w:t xml:space="preserve">A köztemető fenntartási tevékenységnél a KORPUSZ ’93 </w:t>
      </w:r>
      <w:proofErr w:type="gramStart"/>
      <w:r w:rsidRPr="00602B84">
        <w:rPr>
          <w:color w:val="000000"/>
          <w:sz w:val="22"/>
          <w:szCs w:val="22"/>
        </w:rPr>
        <w:t>Kft.</w:t>
      </w:r>
      <w:proofErr w:type="gramEnd"/>
      <w:r w:rsidRPr="00602B84">
        <w:rPr>
          <w:color w:val="000000"/>
          <w:sz w:val="22"/>
          <w:szCs w:val="22"/>
        </w:rPr>
        <w:t xml:space="preserve"> részére</w:t>
      </w:r>
      <w:r w:rsidR="00ED4CCD">
        <w:rPr>
          <w:color w:val="000000"/>
          <w:sz w:val="22"/>
          <w:szCs w:val="22"/>
        </w:rPr>
        <w:t xml:space="preserve"> 20</w:t>
      </w:r>
      <w:r w:rsidR="00431105">
        <w:rPr>
          <w:color w:val="000000"/>
          <w:sz w:val="22"/>
          <w:szCs w:val="22"/>
        </w:rPr>
        <w:t>20</w:t>
      </w:r>
      <w:r w:rsidR="00ED4CCD">
        <w:rPr>
          <w:color w:val="000000"/>
          <w:sz w:val="22"/>
          <w:szCs w:val="22"/>
        </w:rPr>
        <w:t>. évben</w:t>
      </w:r>
      <w:r w:rsidRPr="00602B84">
        <w:rPr>
          <w:color w:val="000000"/>
          <w:sz w:val="22"/>
          <w:szCs w:val="22"/>
        </w:rPr>
        <w:t xml:space="preserve"> a temetőfenntartási feladatok ellátásáért 5.089.578</w:t>
      </w:r>
      <w:r w:rsidR="00431105">
        <w:rPr>
          <w:color w:val="000000"/>
          <w:sz w:val="22"/>
          <w:szCs w:val="22"/>
        </w:rPr>
        <w:t xml:space="preserve"> </w:t>
      </w:r>
      <w:r w:rsidRPr="00602B84">
        <w:rPr>
          <w:color w:val="000000"/>
          <w:sz w:val="22"/>
          <w:szCs w:val="22"/>
        </w:rPr>
        <w:t xml:space="preserve">Ft került átadásra. A tevékenység bevételeként jelentkezik a temetkezési szolgáltatási díj fizetési kötelezettség az üzemeltető részéről a tulajdonos felé, ennek éves bruttó összege </w:t>
      </w:r>
      <w:r w:rsidR="00ED4CCD">
        <w:rPr>
          <w:color w:val="000000"/>
          <w:sz w:val="22"/>
          <w:szCs w:val="22"/>
        </w:rPr>
        <w:t>2</w:t>
      </w:r>
      <w:r w:rsidR="00A9445B">
        <w:rPr>
          <w:color w:val="000000"/>
          <w:sz w:val="22"/>
          <w:szCs w:val="22"/>
        </w:rPr>
        <w:t>11.600</w:t>
      </w:r>
      <w:r w:rsidRPr="00602B84">
        <w:rPr>
          <w:color w:val="000000"/>
          <w:sz w:val="22"/>
          <w:szCs w:val="22"/>
        </w:rPr>
        <w:t xml:space="preserve"> Ft, a tervadat</w:t>
      </w:r>
      <w:r w:rsidR="00A9445B">
        <w:rPr>
          <w:color w:val="000000"/>
          <w:sz w:val="22"/>
          <w:szCs w:val="22"/>
        </w:rPr>
        <w:t xml:space="preserve"> az előző év teljesítési adata alapján</w:t>
      </w:r>
      <w:r w:rsidRPr="00602B84">
        <w:rPr>
          <w:color w:val="000000"/>
          <w:sz w:val="22"/>
          <w:szCs w:val="22"/>
        </w:rPr>
        <w:t xml:space="preserve"> </w:t>
      </w:r>
      <w:r w:rsidR="00A9445B">
        <w:rPr>
          <w:color w:val="000000"/>
          <w:sz w:val="22"/>
          <w:szCs w:val="22"/>
        </w:rPr>
        <w:t>253.000</w:t>
      </w:r>
      <w:r w:rsidRPr="00602B84">
        <w:rPr>
          <w:color w:val="000000"/>
          <w:sz w:val="22"/>
          <w:szCs w:val="22"/>
        </w:rPr>
        <w:t xml:space="preserve"> volt. </w:t>
      </w:r>
    </w:p>
    <w:p w14:paraId="45606647" w14:textId="77777777" w:rsidR="00602B84" w:rsidRPr="00602B84" w:rsidRDefault="00602B84" w:rsidP="00602B84">
      <w:pPr>
        <w:tabs>
          <w:tab w:val="left" w:pos="4860"/>
        </w:tabs>
        <w:jc w:val="both"/>
        <w:rPr>
          <w:color w:val="000000"/>
          <w:sz w:val="22"/>
          <w:szCs w:val="22"/>
        </w:rPr>
      </w:pPr>
      <w:r w:rsidRPr="00602B84">
        <w:rPr>
          <w:color w:val="000000"/>
          <w:sz w:val="22"/>
          <w:szCs w:val="22"/>
        </w:rPr>
        <w:t xml:space="preserve">A mezőőri járulék címén tervezett bevételi előirányzat </w:t>
      </w:r>
      <w:proofErr w:type="gramStart"/>
      <w:r w:rsidR="00D50004">
        <w:rPr>
          <w:color w:val="000000"/>
          <w:sz w:val="22"/>
          <w:szCs w:val="22"/>
        </w:rPr>
        <w:t>4.785.610</w:t>
      </w:r>
      <w:r w:rsidR="001B7682">
        <w:rPr>
          <w:color w:val="000000"/>
          <w:sz w:val="22"/>
          <w:szCs w:val="22"/>
        </w:rPr>
        <w:t xml:space="preserve">  </w:t>
      </w:r>
      <w:r w:rsidRPr="00602B84">
        <w:rPr>
          <w:color w:val="000000"/>
          <w:sz w:val="22"/>
          <w:szCs w:val="22"/>
        </w:rPr>
        <w:t>Ft</w:t>
      </w:r>
      <w:proofErr w:type="gramEnd"/>
      <w:r w:rsidRPr="00602B84">
        <w:rPr>
          <w:color w:val="000000"/>
          <w:sz w:val="22"/>
          <w:szCs w:val="22"/>
        </w:rPr>
        <w:t xml:space="preserve"> volt, a befolyt bevétel összege 4.</w:t>
      </w:r>
      <w:r w:rsidR="00D50004">
        <w:rPr>
          <w:color w:val="000000"/>
          <w:sz w:val="22"/>
          <w:szCs w:val="22"/>
        </w:rPr>
        <w:t>569.307</w:t>
      </w:r>
      <w:r w:rsidRPr="00602B84">
        <w:rPr>
          <w:color w:val="000000"/>
          <w:sz w:val="22"/>
          <w:szCs w:val="22"/>
        </w:rPr>
        <w:t xml:space="preserve"> Ft. A központi költségvetési támogatások igényléséből származóan a tervadat </w:t>
      </w:r>
      <w:r w:rsidR="00E70C2C">
        <w:rPr>
          <w:color w:val="000000"/>
          <w:sz w:val="22"/>
          <w:szCs w:val="22"/>
        </w:rPr>
        <w:t xml:space="preserve">4.320.000 Ft, </w:t>
      </w:r>
      <w:r w:rsidR="007809F0" w:rsidRPr="00602B84">
        <w:rPr>
          <w:color w:val="000000"/>
          <w:sz w:val="22"/>
          <w:szCs w:val="22"/>
        </w:rPr>
        <w:t xml:space="preserve">a teljesítés </w:t>
      </w:r>
      <w:r w:rsidR="00E70C2C">
        <w:rPr>
          <w:color w:val="000000"/>
          <w:sz w:val="22"/>
          <w:szCs w:val="22"/>
        </w:rPr>
        <w:t>3.78</w:t>
      </w:r>
      <w:r w:rsidR="00E70C2C" w:rsidRPr="00602B84">
        <w:rPr>
          <w:color w:val="000000"/>
          <w:sz w:val="22"/>
          <w:szCs w:val="22"/>
        </w:rPr>
        <w:t>0.000.-Ft</w:t>
      </w:r>
      <w:r w:rsidR="00E70C2C">
        <w:rPr>
          <w:color w:val="000000"/>
          <w:sz w:val="22"/>
          <w:szCs w:val="22"/>
        </w:rPr>
        <w:t xml:space="preserve"> </w:t>
      </w:r>
      <w:r w:rsidRPr="00602B84">
        <w:rPr>
          <w:color w:val="000000"/>
          <w:sz w:val="22"/>
          <w:szCs w:val="22"/>
        </w:rPr>
        <w:t xml:space="preserve">volt.  A kiadások tervteljesítési mutatója </w:t>
      </w:r>
      <w:r w:rsidR="003D75DE">
        <w:rPr>
          <w:color w:val="000000"/>
          <w:sz w:val="22"/>
          <w:szCs w:val="22"/>
        </w:rPr>
        <w:t>89,41</w:t>
      </w:r>
      <w:r w:rsidRPr="00602B84">
        <w:rPr>
          <w:color w:val="000000"/>
          <w:sz w:val="22"/>
          <w:szCs w:val="22"/>
        </w:rPr>
        <w:t xml:space="preserve"> %, a bevételeké </w:t>
      </w:r>
      <w:r w:rsidR="003D75DE">
        <w:rPr>
          <w:color w:val="000000"/>
          <w:sz w:val="22"/>
          <w:szCs w:val="22"/>
        </w:rPr>
        <w:t xml:space="preserve">91,69 </w:t>
      </w:r>
      <w:r w:rsidRPr="00602B84">
        <w:rPr>
          <w:color w:val="000000"/>
          <w:sz w:val="22"/>
          <w:szCs w:val="22"/>
        </w:rPr>
        <w:t>%.</w:t>
      </w:r>
    </w:p>
    <w:p w14:paraId="1E408AF6" w14:textId="77777777" w:rsidR="00602B84" w:rsidRPr="00602B84" w:rsidRDefault="00602B84" w:rsidP="00602B84">
      <w:pPr>
        <w:tabs>
          <w:tab w:val="left" w:pos="4860"/>
        </w:tabs>
        <w:jc w:val="both"/>
        <w:rPr>
          <w:color w:val="000000"/>
          <w:sz w:val="22"/>
          <w:szCs w:val="22"/>
        </w:rPr>
      </w:pPr>
      <w:r w:rsidRPr="00602B84">
        <w:rPr>
          <w:color w:val="000000"/>
          <w:sz w:val="22"/>
          <w:szCs w:val="22"/>
        </w:rPr>
        <w:t xml:space="preserve">A közvilágítási tevékenység esetében a teljesítés </w:t>
      </w:r>
      <w:proofErr w:type="gramStart"/>
      <w:r w:rsidR="00AF79BD">
        <w:rPr>
          <w:color w:val="000000"/>
          <w:sz w:val="22"/>
          <w:szCs w:val="22"/>
        </w:rPr>
        <w:t>16.486.651</w:t>
      </w:r>
      <w:r w:rsidR="001B7682">
        <w:rPr>
          <w:color w:val="000000"/>
          <w:sz w:val="22"/>
          <w:szCs w:val="22"/>
        </w:rPr>
        <w:t xml:space="preserve">  </w:t>
      </w:r>
      <w:r w:rsidRPr="00602B84">
        <w:rPr>
          <w:color w:val="000000"/>
          <w:sz w:val="22"/>
          <w:szCs w:val="22"/>
        </w:rPr>
        <w:t>Ft</w:t>
      </w:r>
      <w:proofErr w:type="gramEnd"/>
      <w:r w:rsidRPr="00602B84">
        <w:rPr>
          <w:color w:val="000000"/>
          <w:sz w:val="22"/>
          <w:szCs w:val="22"/>
        </w:rPr>
        <w:t xml:space="preserve"> volt, a tervteljesítési mutató </w:t>
      </w:r>
      <w:r w:rsidR="00AF79BD">
        <w:rPr>
          <w:color w:val="000000"/>
          <w:sz w:val="22"/>
          <w:szCs w:val="22"/>
        </w:rPr>
        <w:t>91,37</w:t>
      </w:r>
      <w:r w:rsidRPr="00602B84">
        <w:rPr>
          <w:color w:val="000000"/>
          <w:sz w:val="22"/>
          <w:szCs w:val="22"/>
        </w:rPr>
        <w:t xml:space="preserve"> %. </w:t>
      </w:r>
    </w:p>
    <w:p w14:paraId="2D1FB8B0" w14:textId="77777777" w:rsidR="00602B84" w:rsidRPr="00602B84" w:rsidRDefault="00602B84" w:rsidP="00602B84">
      <w:pPr>
        <w:jc w:val="both"/>
        <w:rPr>
          <w:color w:val="000000"/>
          <w:sz w:val="22"/>
          <w:szCs w:val="22"/>
        </w:rPr>
      </w:pPr>
      <w:r w:rsidRPr="00602B84">
        <w:rPr>
          <w:color w:val="000000"/>
          <w:sz w:val="22"/>
          <w:szCs w:val="22"/>
        </w:rPr>
        <w:t xml:space="preserve">A eseti </w:t>
      </w:r>
      <w:proofErr w:type="spellStart"/>
      <w:r w:rsidRPr="00602B84">
        <w:rPr>
          <w:color w:val="000000"/>
          <w:sz w:val="22"/>
          <w:szCs w:val="22"/>
        </w:rPr>
        <w:t>pénzbeni</w:t>
      </w:r>
      <w:proofErr w:type="spellEnd"/>
      <w:r w:rsidRPr="00602B84">
        <w:rPr>
          <w:color w:val="000000"/>
          <w:sz w:val="22"/>
          <w:szCs w:val="22"/>
        </w:rPr>
        <w:t xml:space="preserve"> juttatások módosított előirányzata </w:t>
      </w:r>
      <w:r w:rsidR="00B57528">
        <w:rPr>
          <w:color w:val="000000"/>
          <w:sz w:val="22"/>
          <w:szCs w:val="22"/>
        </w:rPr>
        <w:t>44.976.059</w:t>
      </w:r>
      <w:r w:rsidR="001B7682">
        <w:rPr>
          <w:color w:val="000000"/>
          <w:sz w:val="22"/>
          <w:szCs w:val="22"/>
        </w:rPr>
        <w:t xml:space="preserve">  </w:t>
      </w:r>
      <w:r w:rsidRPr="00602B84">
        <w:rPr>
          <w:color w:val="000000"/>
          <w:sz w:val="22"/>
          <w:szCs w:val="22"/>
        </w:rPr>
        <w:t xml:space="preserve"> Ft, éves szinten </w:t>
      </w:r>
      <w:proofErr w:type="gramStart"/>
      <w:r w:rsidR="00B57528">
        <w:rPr>
          <w:color w:val="000000"/>
          <w:sz w:val="22"/>
          <w:szCs w:val="22"/>
        </w:rPr>
        <w:t>44.830.554</w:t>
      </w:r>
      <w:r w:rsidR="001B7682">
        <w:rPr>
          <w:color w:val="000000"/>
          <w:sz w:val="22"/>
          <w:szCs w:val="22"/>
        </w:rPr>
        <w:t xml:space="preserve">  </w:t>
      </w:r>
      <w:r w:rsidRPr="00602B84">
        <w:rPr>
          <w:color w:val="000000"/>
          <w:sz w:val="22"/>
          <w:szCs w:val="22"/>
        </w:rPr>
        <w:t>Ft</w:t>
      </w:r>
      <w:proofErr w:type="gramEnd"/>
      <w:r w:rsidRPr="00602B84">
        <w:rPr>
          <w:color w:val="000000"/>
          <w:sz w:val="22"/>
          <w:szCs w:val="22"/>
        </w:rPr>
        <w:t xml:space="preserve"> került kifizetésre, így a tervteljesítési mutató 99,</w:t>
      </w:r>
      <w:r w:rsidR="00B57528">
        <w:rPr>
          <w:color w:val="000000"/>
          <w:sz w:val="22"/>
          <w:szCs w:val="22"/>
        </w:rPr>
        <w:t>7</w:t>
      </w:r>
      <w:r w:rsidRPr="00602B84">
        <w:rPr>
          <w:color w:val="000000"/>
          <w:sz w:val="22"/>
          <w:szCs w:val="22"/>
        </w:rPr>
        <w:t xml:space="preserve"> % (8.sz. mellékletben jogcímenként részletezve.) A lakáshoz jutás támogatásának </w:t>
      </w:r>
      <w:r w:rsidR="00A867ED">
        <w:rPr>
          <w:color w:val="000000"/>
          <w:sz w:val="22"/>
          <w:szCs w:val="22"/>
        </w:rPr>
        <w:t xml:space="preserve">módosított </w:t>
      </w:r>
      <w:r w:rsidRPr="00602B84">
        <w:rPr>
          <w:color w:val="000000"/>
          <w:sz w:val="22"/>
          <w:szCs w:val="22"/>
        </w:rPr>
        <w:t xml:space="preserve">előirányzata </w:t>
      </w:r>
      <w:r w:rsidR="00A867ED">
        <w:rPr>
          <w:color w:val="000000"/>
          <w:sz w:val="22"/>
          <w:szCs w:val="22"/>
        </w:rPr>
        <w:t>14.560.000</w:t>
      </w:r>
      <w:r w:rsidRPr="00602B84">
        <w:rPr>
          <w:color w:val="000000"/>
          <w:sz w:val="22"/>
          <w:szCs w:val="22"/>
        </w:rPr>
        <w:t xml:space="preserve"> Ft,</w:t>
      </w:r>
      <w:r w:rsidR="00A867ED">
        <w:rPr>
          <w:color w:val="000000"/>
          <w:sz w:val="22"/>
          <w:szCs w:val="22"/>
        </w:rPr>
        <w:t xml:space="preserve"> mely teljes </w:t>
      </w:r>
      <w:proofErr w:type="gramStart"/>
      <w:r w:rsidR="00A867ED">
        <w:rPr>
          <w:color w:val="000000"/>
          <w:sz w:val="22"/>
          <w:szCs w:val="22"/>
        </w:rPr>
        <w:t xml:space="preserve">összegében </w:t>
      </w:r>
      <w:r w:rsidRPr="00602B84">
        <w:rPr>
          <w:color w:val="000000"/>
          <w:sz w:val="22"/>
          <w:szCs w:val="22"/>
        </w:rPr>
        <w:t xml:space="preserve"> felhasználás</w:t>
      </w:r>
      <w:r w:rsidR="00A867ED">
        <w:rPr>
          <w:color w:val="000000"/>
          <w:sz w:val="22"/>
          <w:szCs w:val="22"/>
        </w:rPr>
        <w:t>ra</w:t>
      </w:r>
      <w:proofErr w:type="gramEnd"/>
      <w:r w:rsidR="00A867ED">
        <w:rPr>
          <w:color w:val="000000"/>
          <w:sz w:val="22"/>
          <w:szCs w:val="22"/>
        </w:rPr>
        <w:t xml:space="preserve"> került.</w:t>
      </w:r>
      <w:r w:rsidRPr="00602B84">
        <w:rPr>
          <w:color w:val="000000"/>
          <w:sz w:val="22"/>
          <w:szCs w:val="22"/>
        </w:rPr>
        <w:t xml:space="preserve"> </w:t>
      </w:r>
      <w:r w:rsidR="00A867ED">
        <w:rPr>
          <w:color w:val="000000"/>
          <w:sz w:val="22"/>
          <w:szCs w:val="22"/>
        </w:rPr>
        <w:t xml:space="preserve"> </w:t>
      </w:r>
    </w:p>
    <w:p w14:paraId="34FD100E" w14:textId="77777777" w:rsidR="00431105" w:rsidRPr="00602B84" w:rsidRDefault="00431105" w:rsidP="00431105">
      <w:pPr>
        <w:jc w:val="both"/>
        <w:rPr>
          <w:color w:val="000000"/>
          <w:sz w:val="22"/>
          <w:szCs w:val="22"/>
        </w:rPr>
      </w:pPr>
      <w:r w:rsidRPr="00602B84">
        <w:rPr>
          <w:color w:val="000000"/>
          <w:sz w:val="22"/>
          <w:szCs w:val="22"/>
        </w:rPr>
        <w:t>Az államháztartáson kívüli</w:t>
      </w:r>
      <w:r w:rsidR="00C5584F">
        <w:rPr>
          <w:color w:val="000000"/>
          <w:sz w:val="22"/>
          <w:szCs w:val="22"/>
        </w:rPr>
        <w:t xml:space="preserve"> – </w:t>
      </w:r>
      <w:r>
        <w:rPr>
          <w:color w:val="000000"/>
          <w:sz w:val="22"/>
          <w:szCs w:val="22"/>
        </w:rPr>
        <w:t>civil</w:t>
      </w:r>
      <w:r w:rsidR="00C5584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és sportszervezetek, alapítványok részére nyújtott </w:t>
      </w:r>
      <w:r w:rsidRPr="00602B84">
        <w:rPr>
          <w:color w:val="000000"/>
          <w:sz w:val="22"/>
          <w:szCs w:val="22"/>
        </w:rPr>
        <w:t>működési célú támogatásokra</w:t>
      </w:r>
      <w:r>
        <w:rPr>
          <w:color w:val="000000"/>
          <w:sz w:val="22"/>
          <w:szCs w:val="22"/>
        </w:rPr>
        <w:t xml:space="preserve"> 10.460.833 </w:t>
      </w:r>
      <w:r w:rsidRPr="00602B84">
        <w:rPr>
          <w:color w:val="000000"/>
          <w:sz w:val="22"/>
          <w:szCs w:val="22"/>
        </w:rPr>
        <w:t xml:space="preserve">Ft került felhasználásra. A támogatásban részesült szervezeteket, valamint a támogatások összegeit az előterjesztés 14. sz. melléklete tartalmazza tételesen. </w:t>
      </w:r>
    </w:p>
    <w:p w14:paraId="6B5DB3F0" w14:textId="77777777" w:rsidR="00431105" w:rsidRPr="00602B84" w:rsidRDefault="00431105" w:rsidP="00431105">
      <w:pPr>
        <w:jc w:val="both"/>
        <w:rPr>
          <w:sz w:val="22"/>
          <w:szCs w:val="22"/>
        </w:rPr>
      </w:pPr>
      <w:r w:rsidRPr="00602B84">
        <w:rPr>
          <w:sz w:val="22"/>
          <w:szCs w:val="22"/>
        </w:rPr>
        <w:lastRenderedPageBreak/>
        <w:t>Az Európai Uniós pályázatokat a 4.sz. melléklet mutatja be</w:t>
      </w:r>
      <w:r>
        <w:rPr>
          <w:sz w:val="22"/>
          <w:szCs w:val="22"/>
        </w:rPr>
        <w:t>,</w:t>
      </w:r>
      <w:r w:rsidRPr="00602B84">
        <w:rPr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Pr="00602B84">
        <w:rPr>
          <w:sz w:val="22"/>
          <w:szCs w:val="22"/>
        </w:rPr>
        <w:t xml:space="preserve"> támogatások 2017- 201</w:t>
      </w:r>
      <w:r>
        <w:rPr>
          <w:sz w:val="22"/>
          <w:szCs w:val="22"/>
        </w:rPr>
        <w:t>20</w:t>
      </w:r>
      <w:r w:rsidRPr="00602B84">
        <w:rPr>
          <w:sz w:val="22"/>
          <w:szCs w:val="22"/>
        </w:rPr>
        <w:t>. évben fel nem használt része, mint kötelezettséggel terhelt maradvány került nyilvántartásba vételre, illetve a 20</w:t>
      </w:r>
      <w:r>
        <w:rPr>
          <w:sz w:val="22"/>
          <w:szCs w:val="22"/>
        </w:rPr>
        <w:t>21</w:t>
      </w:r>
      <w:r w:rsidRPr="00602B84">
        <w:rPr>
          <w:sz w:val="22"/>
          <w:szCs w:val="22"/>
        </w:rPr>
        <w:t xml:space="preserve">. évi költségvetésben megtervezésre. </w:t>
      </w:r>
    </w:p>
    <w:p w14:paraId="04CCE9A3" w14:textId="77777777" w:rsidR="00431105" w:rsidRPr="00602B84" w:rsidRDefault="00431105" w:rsidP="00431105">
      <w:pPr>
        <w:jc w:val="both"/>
        <w:rPr>
          <w:color w:val="FF0000"/>
          <w:sz w:val="22"/>
          <w:szCs w:val="22"/>
        </w:rPr>
      </w:pPr>
      <w:r w:rsidRPr="00602B84">
        <w:rPr>
          <w:color w:val="000000"/>
          <w:sz w:val="22"/>
          <w:szCs w:val="22"/>
        </w:rPr>
        <w:t>Az általános tartalék 20</w:t>
      </w:r>
      <w:r>
        <w:rPr>
          <w:color w:val="000000"/>
          <w:sz w:val="22"/>
          <w:szCs w:val="22"/>
        </w:rPr>
        <w:t>20</w:t>
      </w:r>
      <w:r w:rsidRPr="00602B84">
        <w:rPr>
          <w:color w:val="000000"/>
          <w:sz w:val="22"/>
          <w:szCs w:val="22"/>
        </w:rPr>
        <w:t xml:space="preserve">. év végi előirányzata </w:t>
      </w:r>
      <w:r>
        <w:rPr>
          <w:color w:val="000000"/>
          <w:sz w:val="22"/>
          <w:szCs w:val="22"/>
        </w:rPr>
        <w:t>29.138.864</w:t>
      </w:r>
      <w:r w:rsidRPr="00602B84">
        <w:rPr>
          <w:color w:val="000000"/>
          <w:sz w:val="22"/>
          <w:szCs w:val="22"/>
        </w:rPr>
        <w:t xml:space="preserve"> Ft, a céltartalékoké </w:t>
      </w:r>
      <w:r>
        <w:rPr>
          <w:color w:val="000000"/>
          <w:sz w:val="22"/>
          <w:szCs w:val="22"/>
        </w:rPr>
        <w:t xml:space="preserve">28.537.566 </w:t>
      </w:r>
      <w:r w:rsidRPr="00602B84">
        <w:rPr>
          <w:color w:val="000000"/>
          <w:sz w:val="22"/>
          <w:szCs w:val="22"/>
        </w:rPr>
        <w:t>Ft.</w:t>
      </w:r>
    </w:p>
    <w:p w14:paraId="442BD7F9" w14:textId="77777777" w:rsidR="00431105" w:rsidRPr="00602B84" w:rsidRDefault="00431105" w:rsidP="00431105">
      <w:pPr>
        <w:jc w:val="both"/>
        <w:rPr>
          <w:sz w:val="22"/>
          <w:szCs w:val="22"/>
        </w:rPr>
      </w:pPr>
      <w:r w:rsidRPr="00602B84">
        <w:rPr>
          <w:sz w:val="22"/>
          <w:szCs w:val="22"/>
        </w:rPr>
        <w:t>A többségi önkormányzati tulajdonú gazdasági társaságok esetében 201</w:t>
      </w:r>
      <w:r>
        <w:rPr>
          <w:sz w:val="22"/>
          <w:szCs w:val="22"/>
        </w:rPr>
        <w:t>9</w:t>
      </w:r>
      <w:r w:rsidRPr="00602B84">
        <w:rPr>
          <w:sz w:val="22"/>
          <w:szCs w:val="22"/>
        </w:rPr>
        <w:t>. évi veszteség finanszírozás címén önkormányzati támogatásra 20</w:t>
      </w:r>
      <w:r>
        <w:rPr>
          <w:sz w:val="22"/>
          <w:szCs w:val="22"/>
        </w:rPr>
        <w:t>20.</w:t>
      </w:r>
      <w:r w:rsidRPr="00602B84">
        <w:rPr>
          <w:sz w:val="22"/>
          <w:szCs w:val="22"/>
        </w:rPr>
        <w:t xml:space="preserve"> évben </w:t>
      </w:r>
      <w:r>
        <w:rPr>
          <w:sz w:val="22"/>
          <w:szCs w:val="22"/>
        </w:rPr>
        <w:t>s</w:t>
      </w:r>
      <w:r w:rsidRPr="00602B84">
        <w:rPr>
          <w:sz w:val="22"/>
          <w:szCs w:val="22"/>
        </w:rPr>
        <w:t>em volt szükség, a visszatérítendő támogatásoknak sem volt 20</w:t>
      </w:r>
      <w:r>
        <w:rPr>
          <w:sz w:val="22"/>
          <w:szCs w:val="22"/>
        </w:rPr>
        <w:t>20</w:t>
      </w:r>
      <w:r w:rsidRPr="00602B84">
        <w:rPr>
          <w:sz w:val="22"/>
          <w:szCs w:val="22"/>
        </w:rPr>
        <w:t>. év vég</w:t>
      </w:r>
      <w:r>
        <w:rPr>
          <w:sz w:val="22"/>
          <w:szCs w:val="22"/>
        </w:rPr>
        <w:t xml:space="preserve">én </w:t>
      </w:r>
      <w:r w:rsidRPr="00602B84">
        <w:rPr>
          <w:sz w:val="22"/>
          <w:szCs w:val="22"/>
        </w:rPr>
        <w:t>állománya.</w:t>
      </w:r>
    </w:p>
    <w:p w14:paraId="6109496A" w14:textId="77777777" w:rsidR="00602B84" w:rsidRPr="00602B84" w:rsidRDefault="00602B84" w:rsidP="00602B84">
      <w:pPr>
        <w:jc w:val="both"/>
        <w:rPr>
          <w:color w:val="000000"/>
          <w:sz w:val="22"/>
          <w:szCs w:val="22"/>
        </w:rPr>
      </w:pPr>
      <w:r w:rsidRPr="00602B84">
        <w:rPr>
          <w:color w:val="000000"/>
          <w:sz w:val="22"/>
          <w:szCs w:val="22"/>
        </w:rPr>
        <w:t xml:space="preserve">Az ügyeleti szolgálatnál a bevételi előirányzat </w:t>
      </w:r>
      <w:r w:rsidR="00BB2642">
        <w:rPr>
          <w:color w:val="000000"/>
          <w:sz w:val="22"/>
          <w:szCs w:val="22"/>
        </w:rPr>
        <w:t xml:space="preserve">22.929.025 </w:t>
      </w:r>
      <w:r w:rsidRPr="00602B84">
        <w:rPr>
          <w:color w:val="000000"/>
          <w:sz w:val="22"/>
          <w:szCs w:val="22"/>
        </w:rPr>
        <w:t xml:space="preserve">Ft, a teljesítés </w:t>
      </w:r>
      <w:r w:rsidR="0089499B">
        <w:rPr>
          <w:color w:val="000000"/>
          <w:sz w:val="22"/>
          <w:szCs w:val="22"/>
        </w:rPr>
        <w:t>22</w:t>
      </w:r>
      <w:r w:rsidR="00BB2642">
        <w:rPr>
          <w:color w:val="000000"/>
          <w:sz w:val="22"/>
          <w:szCs w:val="22"/>
        </w:rPr>
        <w:t xml:space="preserve">.901.125 </w:t>
      </w:r>
      <w:r w:rsidRPr="00602B84">
        <w:rPr>
          <w:color w:val="000000"/>
          <w:sz w:val="22"/>
          <w:szCs w:val="22"/>
        </w:rPr>
        <w:t>Ft volt.</w:t>
      </w:r>
      <w:r w:rsidR="0089499B">
        <w:rPr>
          <w:color w:val="000000"/>
          <w:sz w:val="22"/>
          <w:szCs w:val="22"/>
        </w:rPr>
        <w:t xml:space="preserve"> </w:t>
      </w:r>
      <w:r w:rsidRPr="00602B84">
        <w:rPr>
          <w:color w:val="000000"/>
          <w:sz w:val="22"/>
          <w:szCs w:val="22"/>
        </w:rPr>
        <w:t xml:space="preserve">A feladat NEAK finanszírozásának tervteljesítési mutatója </w:t>
      </w:r>
      <w:r w:rsidR="00BB2642">
        <w:rPr>
          <w:color w:val="000000"/>
          <w:sz w:val="22"/>
          <w:szCs w:val="22"/>
        </w:rPr>
        <w:t>99,88</w:t>
      </w:r>
      <w:r w:rsidRPr="00602B84">
        <w:rPr>
          <w:color w:val="000000"/>
          <w:sz w:val="22"/>
          <w:szCs w:val="22"/>
        </w:rPr>
        <w:t xml:space="preserve"> %. A kiadások tervteljesítési mutatója </w:t>
      </w:r>
      <w:r w:rsidR="0089499B">
        <w:rPr>
          <w:color w:val="000000"/>
          <w:sz w:val="22"/>
          <w:szCs w:val="22"/>
        </w:rPr>
        <w:t>9</w:t>
      </w:r>
      <w:r w:rsidR="00BB2642">
        <w:rPr>
          <w:color w:val="000000"/>
          <w:sz w:val="22"/>
          <w:szCs w:val="22"/>
        </w:rPr>
        <w:t>8,52</w:t>
      </w:r>
      <w:r w:rsidRPr="00602B84">
        <w:rPr>
          <w:color w:val="000000"/>
          <w:sz w:val="22"/>
          <w:szCs w:val="22"/>
        </w:rPr>
        <w:t>%, mely kismértékben a tervezet</w:t>
      </w:r>
      <w:r w:rsidR="0089499B">
        <w:rPr>
          <w:color w:val="000000"/>
          <w:sz w:val="22"/>
          <w:szCs w:val="22"/>
        </w:rPr>
        <w:t>t alatt marad</w:t>
      </w:r>
      <w:r w:rsidRPr="00602B84">
        <w:rPr>
          <w:color w:val="000000"/>
          <w:sz w:val="22"/>
          <w:szCs w:val="22"/>
        </w:rPr>
        <w:t xml:space="preserve">. </w:t>
      </w:r>
    </w:p>
    <w:p w14:paraId="3C525F2B" w14:textId="09BC428F" w:rsidR="00602B84" w:rsidRPr="00602B84" w:rsidRDefault="00602B84" w:rsidP="00602B84">
      <w:pPr>
        <w:jc w:val="both"/>
        <w:rPr>
          <w:color w:val="000000"/>
          <w:sz w:val="22"/>
          <w:szCs w:val="22"/>
        </w:rPr>
      </w:pPr>
      <w:r w:rsidRPr="00602B84">
        <w:rPr>
          <w:color w:val="000000"/>
          <w:sz w:val="22"/>
          <w:szCs w:val="22"/>
        </w:rPr>
        <w:t xml:space="preserve">A védőnői szolgálatoknál a bevételek tervteljesítési mutatója </w:t>
      </w:r>
      <w:r w:rsidR="00D54C9C">
        <w:rPr>
          <w:color w:val="000000"/>
          <w:sz w:val="22"/>
          <w:szCs w:val="22"/>
        </w:rPr>
        <w:t>109,32</w:t>
      </w:r>
      <w:r w:rsidRPr="00602B84">
        <w:rPr>
          <w:color w:val="000000"/>
          <w:sz w:val="22"/>
          <w:szCs w:val="22"/>
        </w:rPr>
        <w:t xml:space="preserve"> %, összege </w:t>
      </w:r>
      <w:r w:rsidR="00BB2642">
        <w:rPr>
          <w:color w:val="000000"/>
          <w:sz w:val="22"/>
          <w:szCs w:val="22"/>
        </w:rPr>
        <w:t>27.991.103</w:t>
      </w:r>
      <w:r w:rsidR="001B7682">
        <w:rPr>
          <w:color w:val="000000"/>
          <w:sz w:val="22"/>
          <w:szCs w:val="22"/>
        </w:rPr>
        <w:t xml:space="preserve"> </w:t>
      </w:r>
      <w:r w:rsidRPr="00602B84">
        <w:rPr>
          <w:color w:val="000000"/>
          <w:sz w:val="22"/>
          <w:szCs w:val="22"/>
        </w:rPr>
        <w:t>Ft, a kiadások</w:t>
      </w:r>
      <w:r w:rsidR="00271605">
        <w:rPr>
          <w:color w:val="000000"/>
          <w:sz w:val="22"/>
          <w:szCs w:val="22"/>
        </w:rPr>
        <w:t xml:space="preserve"> teljesítése </w:t>
      </w:r>
      <w:r w:rsidR="00BB2642">
        <w:rPr>
          <w:color w:val="000000"/>
          <w:sz w:val="22"/>
          <w:szCs w:val="22"/>
        </w:rPr>
        <w:t>30.374.697</w:t>
      </w:r>
      <w:r w:rsidRPr="00602B84">
        <w:rPr>
          <w:color w:val="000000"/>
          <w:sz w:val="22"/>
          <w:szCs w:val="22"/>
        </w:rPr>
        <w:t xml:space="preserve"> Ft, ez azt </w:t>
      </w:r>
      <w:r w:rsidR="00CF295C" w:rsidRPr="00602B84">
        <w:rPr>
          <w:color w:val="000000"/>
          <w:sz w:val="22"/>
          <w:szCs w:val="22"/>
        </w:rPr>
        <w:t>jelenti,</w:t>
      </w:r>
      <w:r w:rsidRPr="00602B84">
        <w:rPr>
          <w:color w:val="000000"/>
          <w:sz w:val="22"/>
          <w:szCs w:val="22"/>
        </w:rPr>
        <w:t xml:space="preserve"> hogy a védőnői feladatokhoz 20</w:t>
      </w:r>
      <w:r w:rsidR="00BB2642">
        <w:rPr>
          <w:color w:val="000000"/>
          <w:sz w:val="22"/>
          <w:szCs w:val="22"/>
        </w:rPr>
        <w:t>20</w:t>
      </w:r>
      <w:r w:rsidRPr="00602B84">
        <w:rPr>
          <w:color w:val="000000"/>
          <w:sz w:val="22"/>
          <w:szCs w:val="22"/>
        </w:rPr>
        <w:t xml:space="preserve">. évben az önkormányzat saját bevételéből </w:t>
      </w:r>
      <w:r w:rsidR="00CF295C">
        <w:rPr>
          <w:color w:val="000000"/>
          <w:sz w:val="22"/>
          <w:szCs w:val="22"/>
        </w:rPr>
        <w:t>2.383.594 Ft</w:t>
      </w:r>
      <w:r w:rsidRPr="00602B84">
        <w:rPr>
          <w:color w:val="000000"/>
          <w:sz w:val="22"/>
          <w:szCs w:val="22"/>
        </w:rPr>
        <w:t xml:space="preserve"> forrást biztosít</w:t>
      </w:r>
      <w:r w:rsidR="00271605">
        <w:rPr>
          <w:color w:val="000000"/>
          <w:sz w:val="22"/>
          <w:szCs w:val="22"/>
        </w:rPr>
        <w:t>ott</w:t>
      </w:r>
      <w:r w:rsidRPr="00602B84">
        <w:rPr>
          <w:color w:val="000000"/>
          <w:sz w:val="22"/>
          <w:szCs w:val="22"/>
        </w:rPr>
        <w:t xml:space="preserve">. </w:t>
      </w:r>
    </w:p>
    <w:p w14:paraId="3F19D188" w14:textId="77777777" w:rsidR="00701837" w:rsidRPr="00602B84" w:rsidRDefault="00602B84" w:rsidP="00701837">
      <w:pPr>
        <w:jc w:val="both"/>
        <w:rPr>
          <w:color w:val="000000"/>
          <w:sz w:val="22"/>
          <w:szCs w:val="22"/>
        </w:rPr>
      </w:pPr>
      <w:r w:rsidRPr="00602B84">
        <w:rPr>
          <w:color w:val="000000"/>
          <w:sz w:val="22"/>
          <w:szCs w:val="22"/>
        </w:rPr>
        <w:t>A közfoglalkoztatás keretében végrehajtott startmunka mintaprogramok esetében a 20</w:t>
      </w:r>
      <w:r w:rsidR="00BB2642">
        <w:rPr>
          <w:color w:val="000000"/>
          <w:sz w:val="22"/>
          <w:szCs w:val="22"/>
        </w:rPr>
        <w:t>20</w:t>
      </w:r>
      <w:r w:rsidRPr="00602B84">
        <w:rPr>
          <w:color w:val="000000"/>
          <w:sz w:val="22"/>
          <w:szCs w:val="22"/>
        </w:rPr>
        <w:t xml:space="preserve">. évi állami támogatások teljesítése Ft, a kiadások összege </w:t>
      </w:r>
      <w:r w:rsidR="002A0B69">
        <w:rPr>
          <w:color w:val="000000"/>
          <w:sz w:val="22"/>
          <w:szCs w:val="22"/>
        </w:rPr>
        <w:t>161.302.856</w:t>
      </w:r>
      <w:r w:rsidR="001B7682">
        <w:rPr>
          <w:color w:val="000000"/>
          <w:sz w:val="22"/>
          <w:szCs w:val="22"/>
        </w:rPr>
        <w:t xml:space="preserve"> </w:t>
      </w:r>
      <w:r w:rsidRPr="00602B84">
        <w:rPr>
          <w:color w:val="000000"/>
          <w:sz w:val="22"/>
          <w:szCs w:val="22"/>
        </w:rPr>
        <w:t xml:space="preserve">Ft volt. </w:t>
      </w:r>
      <w:r w:rsidR="00701837" w:rsidRPr="00602B84">
        <w:rPr>
          <w:color w:val="000000"/>
          <w:sz w:val="22"/>
          <w:szCs w:val="22"/>
        </w:rPr>
        <w:t xml:space="preserve">A készletértékesítésből származó nettó bevétel </w:t>
      </w:r>
      <w:r w:rsidR="002A0B69">
        <w:rPr>
          <w:color w:val="000000"/>
          <w:sz w:val="22"/>
          <w:szCs w:val="22"/>
        </w:rPr>
        <w:t xml:space="preserve">6.515.340 Ft+ Áfa volt, </w:t>
      </w:r>
      <w:r w:rsidR="00431105">
        <w:rPr>
          <w:color w:val="000000"/>
          <w:sz w:val="22"/>
          <w:szCs w:val="22"/>
        </w:rPr>
        <w:t>ennek összege</w:t>
      </w:r>
      <w:r w:rsidR="002A0B69">
        <w:rPr>
          <w:color w:val="000000"/>
          <w:sz w:val="22"/>
          <w:szCs w:val="22"/>
        </w:rPr>
        <w:t xml:space="preserve"> előző évben </w:t>
      </w:r>
      <w:r w:rsidR="00701837">
        <w:rPr>
          <w:color w:val="000000"/>
          <w:sz w:val="22"/>
          <w:szCs w:val="22"/>
        </w:rPr>
        <w:t>4.454.49</w:t>
      </w:r>
      <w:r w:rsidR="002A0B69">
        <w:rPr>
          <w:color w:val="000000"/>
          <w:sz w:val="22"/>
          <w:szCs w:val="22"/>
        </w:rPr>
        <w:t>4</w:t>
      </w:r>
      <w:r w:rsidR="001B7682">
        <w:rPr>
          <w:color w:val="000000"/>
          <w:sz w:val="22"/>
          <w:szCs w:val="22"/>
        </w:rPr>
        <w:t xml:space="preserve"> </w:t>
      </w:r>
      <w:r w:rsidR="00701837" w:rsidRPr="00602B84">
        <w:rPr>
          <w:color w:val="000000"/>
          <w:sz w:val="22"/>
          <w:szCs w:val="22"/>
        </w:rPr>
        <w:t xml:space="preserve">Ft </w:t>
      </w:r>
      <w:r w:rsidR="00701837">
        <w:rPr>
          <w:color w:val="000000"/>
          <w:sz w:val="22"/>
          <w:szCs w:val="22"/>
        </w:rPr>
        <w:t>+</w:t>
      </w:r>
      <w:r w:rsidR="00701837" w:rsidRPr="00602B84">
        <w:rPr>
          <w:color w:val="000000"/>
          <w:sz w:val="22"/>
          <w:szCs w:val="22"/>
        </w:rPr>
        <w:t xml:space="preserve">Áfa volt. </w:t>
      </w:r>
    </w:p>
    <w:p w14:paraId="5C88313C" w14:textId="77777777" w:rsidR="00701837" w:rsidRPr="00602B84" w:rsidRDefault="00701837" w:rsidP="00701837">
      <w:pPr>
        <w:jc w:val="both"/>
        <w:rPr>
          <w:color w:val="000000"/>
          <w:sz w:val="22"/>
          <w:szCs w:val="22"/>
        </w:rPr>
      </w:pPr>
      <w:r w:rsidRPr="00602B84">
        <w:rPr>
          <w:color w:val="000000"/>
          <w:sz w:val="22"/>
          <w:szCs w:val="22"/>
        </w:rPr>
        <w:t>A közmunkaprogramok támogatása terhére vásárolt tárgyi eszközök, felhalmozási kiadások összeg</w:t>
      </w:r>
      <w:r w:rsidR="006A373C">
        <w:rPr>
          <w:color w:val="000000"/>
          <w:sz w:val="22"/>
          <w:szCs w:val="22"/>
        </w:rPr>
        <w:t>én belül a fóliaház építésének, telepítésének összege 18.163.757</w:t>
      </w:r>
      <w:r w:rsidRPr="00602B84">
        <w:rPr>
          <w:color w:val="000000"/>
          <w:sz w:val="22"/>
          <w:szCs w:val="22"/>
        </w:rPr>
        <w:t xml:space="preserve">Ft, </w:t>
      </w:r>
      <w:r w:rsidR="006A373C">
        <w:rPr>
          <w:color w:val="000000"/>
          <w:sz w:val="22"/>
          <w:szCs w:val="22"/>
        </w:rPr>
        <w:t xml:space="preserve">az eszközbeszerzésekre fordított összeg 6.854.701 Ft volt. </w:t>
      </w:r>
      <w:r w:rsidRPr="00602B84">
        <w:rPr>
          <w:color w:val="000000"/>
          <w:sz w:val="22"/>
          <w:szCs w:val="22"/>
        </w:rPr>
        <w:t xml:space="preserve"> </w:t>
      </w:r>
      <w:r w:rsidR="006A373C">
        <w:rPr>
          <w:color w:val="000000"/>
          <w:sz w:val="22"/>
          <w:szCs w:val="22"/>
        </w:rPr>
        <w:t xml:space="preserve"> </w:t>
      </w:r>
    </w:p>
    <w:p w14:paraId="6FD5BB09" w14:textId="02C5D9CA" w:rsidR="00602B84" w:rsidRPr="00602B84" w:rsidRDefault="00602B84" w:rsidP="00602B84">
      <w:pPr>
        <w:jc w:val="both"/>
        <w:rPr>
          <w:color w:val="000000"/>
          <w:sz w:val="22"/>
          <w:szCs w:val="22"/>
        </w:rPr>
      </w:pPr>
      <w:r w:rsidRPr="00602B84">
        <w:rPr>
          <w:color w:val="000000"/>
          <w:sz w:val="22"/>
          <w:szCs w:val="22"/>
        </w:rPr>
        <w:t>A hosszabb időtartamú közfoglalkoztatásnál a támogatások éves összege</w:t>
      </w:r>
      <w:r w:rsidR="001B7682">
        <w:rPr>
          <w:color w:val="000000"/>
          <w:sz w:val="22"/>
          <w:szCs w:val="22"/>
        </w:rPr>
        <w:t xml:space="preserve"> </w:t>
      </w:r>
      <w:r w:rsidR="002A0B69">
        <w:rPr>
          <w:color w:val="000000"/>
          <w:sz w:val="22"/>
          <w:szCs w:val="22"/>
        </w:rPr>
        <w:t>20.583.609</w:t>
      </w:r>
      <w:r w:rsidR="001B7682">
        <w:rPr>
          <w:color w:val="000000"/>
          <w:sz w:val="22"/>
          <w:szCs w:val="22"/>
        </w:rPr>
        <w:t xml:space="preserve"> </w:t>
      </w:r>
      <w:r w:rsidRPr="00602B84">
        <w:rPr>
          <w:color w:val="000000"/>
          <w:sz w:val="22"/>
          <w:szCs w:val="22"/>
        </w:rPr>
        <w:t xml:space="preserve">Ft, a kiadásoké </w:t>
      </w:r>
      <w:r w:rsidR="00CF295C">
        <w:rPr>
          <w:color w:val="000000"/>
          <w:sz w:val="22"/>
          <w:szCs w:val="22"/>
        </w:rPr>
        <w:t xml:space="preserve">25.232.443 </w:t>
      </w:r>
      <w:r w:rsidR="00CF295C" w:rsidRPr="00602B84">
        <w:rPr>
          <w:color w:val="000000"/>
          <w:sz w:val="22"/>
          <w:szCs w:val="22"/>
        </w:rPr>
        <w:t>Ft</w:t>
      </w:r>
      <w:r w:rsidRPr="00602B84">
        <w:rPr>
          <w:color w:val="000000"/>
          <w:sz w:val="22"/>
          <w:szCs w:val="22"/>
        </w:rPr>
        <w:t xml:space="preserve"> volt.</w:t>
      </w:r>
    </w:p>
    <w:p w14:paraId="75754C37" w14:textId="77777777" w:rsidR="00701837" w:rsidRDefault="00701837" w:rsidP="00602B84">
      <w:pPr>
        <w:jc w:val="both"/>
        <w:rPr>
          <w:sz w:val="22"/>
          <w:szCs w:val="22"/>
        </w:rPr>
      </w:pPr>
    </w:p>
    <w:p w14:paraId="2FF9D53D" w14:textId="77777777" w:rsidR="00605CF3" w:rsidRPr="00262F5B" w:rsidRDefault="00605CF3" w:rsidP="00A504DD">
      <w:pPr>
        <w:jc w:val="both"/>
        <w:rPr>
          <w:sz w:val="22"/>
          <w:szCs w:val="22"/>
        </w:rPr>
      </w:pPr>
    </w:p>
    <w:p w14:paraId="1E76575C" w14:textId="77777777" w:rsidR="00DD1B18" w:rsidRPr="00602B84" w:rsidRDefault="00DD1B18" w:rsidP="00602B84">
      <w:pPr>
        <w:numPr>
          <w:ilvl w:val="0"/>
          <w:numId w:val="8"/>
        </w:numPr>
        <w:jc w:val="both"/>
        <w:rPr>
          <w:b/>
          <w:sz w:val="22"/>
          <w:szCs w:val="22"/>
          <w:u w:val="single"/>
        </w:rPr>
      </w:pPr>
      <w:r w:rsidRPr="00602B84">
        <w:rPr>
          <w:b/>
          <w:sz w:val="22"/>
          <w:szCs w:val="22"/>
          <w:u w:val="single"/>
        </w:rPr>
        <w:t>Hitel és értékpapír műveletek alakulása, a hitel-állomány változásának tartalma, ezzel összefüggésben kiemelten a kötvény állomány alakulása, okai</w:t>
      </w:r>
    </w:p>
    <w:p w14:paraId="3D0221DD" w14:textId="77777777" w:rsidR="00552CF4" w:rsidRPr="00602B84" w:rsidRDefault="00552CF4" w:rsidP="00DD1B18">
      <w:pPr>
        <w:jc w:val="both"/>
        <w:rPr>
          <w:b/>
          <w:sz w:val="22"/>
          <w:szCs w:val="22"/>
          <w:u w:val="single"/>
        </w:rPr>
      </w:pPr>
    </w:p>
    <w:p w14:paraId="15D9F307" w14:textId="77777777" w:rsidR="00DD1B18" w:rsidRPr="00262F5B" w:rsidRDefault="00B8040F" w:rsidP="00DD1B18">
      <w:pPr>
        <w:jc w:val="both"/>
        <w:rPr>
          <w:sz w:val="22"/>
          <w:szCs w:val="22"/>
        </w:rPr>
      </w:pPr>
      <w:r w:rsidRPr="00262F5B">
        <w:rPr>
          <w:sz w:val="22"/>
          <w:szCs w:val="22"/>
        </w:rPr>
        <w:t>Az önkormányzatnak 20</w:t>
      </w:r>
      <w:r>
        <w:rPr>
          <w:sz w:val="22"/>
          <w:szCs w:val="22"/>
        </w:rPr>
        <w:t>20</w:t>
      </w:r>
      <w:r w:rsidRPr="00262F5B">
        <w:rPr>
          <w:sz w:val="22"/>
          <w:szCs w:val="22"/>
        </w:rPr>
        <w:t>. december 31.-én működési</w:t>
      </w:r>
      <w:r>
        <w:rPr>
          <w:sz w:val="22"/>
          <w:szCs w:val="22"/>
        </w:rPr>
        <w:t xml:space="preserve"> hitel állománya, illetve kötvény állománya</w:t>
      </w:r>
      <w:r w:rsidR="00DD1B18" w:rsidRPr="00262F5B">
        <w:rPr>
          <w:sz w:val="22"/>
          <w:szCs w:val="22"/>
        </w:rPr>
        <w:t xml:space="preserve"> - az előző évekhez hasonlóan </w:t>
      </w:r>
      <w:r>
        <w:rPr>
          <w:sz w:val="22"/>
          <w:szCs w:val="22"/>
        </w:rPr>
        <w:t>–</w:t>
      </w:r>
      <w:r w:rsidR="00DD1B18" w:rsidRPr="00262F5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nem volt. </w:t>
      </w:r>
      <w:r w:rsidR="00DD1B18" w:rsidRPr="00262F5B">
        <w:rPr>
          <w:sz w:val="22"/>
          <w:szCs w:val="22"/>
        </w:rPr>
        <w:t xml:space="preserve"> </w:t>
      </w:r>
    </w:p>
    <w:p w14:paraId="654D21EA" w14:textId="77777777" w:rsidR="00DD1B18" w:rsidRPr="00262F5B" w:rsidRDefault="002E1720" w:rsidP="00DD1B18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DD1B18" w:rsidRPr="00262F5B">
        <w:rPr>
          <w:sz w:val="22"/>
          <w:szCs w:val="22"/>
        </w:rPr>
        <w:t xml:space="preserve"> fejlesztési hitel</w:t>
      </w:r>
      <w:r w:rsidR="00B8040F">
        <w:rPr>
          <w:sz w:val="22"/>
          <w:szCs w:val="22"/>
        </w:rPr>
        <w:t xml:space="preserve"> </w:t>
      </w:r>
      <w:r w:rsidR="00DD1B18" w:rsidRPr="00262F5B">
        <w:rPr>
          <w:sz w:val="22"/>
          <w:szCs w:val="22"/>
        </w:rPr>
        <w:t xml:space="preserve">állománya </w:t>
      </w:r>
      <w:r w:rsidR="00F96DE9">
        <w:rPr>
          <w:sz w:val="22"/>
          <w:szCs w:val="22"/>
        </w:rPr>
        <w:t xml:space="preserve">év végén </w:t>
      </w:r>
      <w:r>
        <w:rPr>
          <w:sz w:val="22"/>
          <w:szCs w:val="22"/>
        </w:rPr>
        <w:t>1</w:t>
      </w:r>
      <w:r w:rsidR="00B8040F">
        <w:rPr>
          <w:sz w:val="22"/>
          <w:szCs w:val="22"/>
        </w:rPr>
        <w:t>6</w:t>
      </w:r>
      <w:r>
        <w:rPr>
          <w:sz w:val="22"/>
          <w:szCs w:val="22"/>
        </w:rPr>
        <w:t xml:space="preserve">.000.000 Ft volt, amely </w:t>
      </w:r>
      <w:r w:rsidR="00B8040F">
        <w:rPr>
          <w:sz w:val="22"/>
          <w:szCs w:val="22"/>
        </w:rPr>
        <w:t>7</w:t>
      </w:r>
      <w:r w:rsidR="001A5FB2">
        <w:rPr>
          <w:sz w:val="22"/>
          <w:szCs w:val="22"/>
        </w:rPr>
        <w:t xml:space="preserve">.000.000 Ft összegben </w:t>
      </w:r>
      <w:r>
        <w:rPr>
          <w:sz w:val="22"/>
          <w:szCs w:val="22"/>
        </w:rPr>
        <w:t>a Polgár, Hősök út 25. szám alatti ingatlan vásárlásához</w:t>
      </w:r>
      <w:r w:rsidR="001A5FB2">
        <w:rPr>
          <w:sz w:val="22"/>
          <w:szCs w:val="22"/>
        </w:rPr>
        <w:t xml:space="preserve">, </w:t>
      </w:r>
      <w:r w:rsidR="00B8040F">
        <w:rPr>
          <w:sz w:val="22"/>
          <w:szCs w:val="22"/>
        </w:rPr>
        <w:t>9</w:t>
      </w:r>
      <w:r w:rsidR="001A5FB2">
        <w:rPr>
          <w:sz w:val="22"/>
          <w:szCs w:val="22"/>
        </w:rPr>
        <w:t>.000.000 Ft összegben a Polgár, Kárpát utca útfelújításához</w:t>
      </w:r>
      <w:r>
        <w:rPr>
          <w:sz w:val="22"/>
          <w:szCs w:val="22"/>
        </w:rPr>
        <w:t xml:space="preserve"> kapcsolódik</w:t>
      </w:r>
      <w:r w:rsidR="005E432B" w:rsidRPr="00262F5B">
        <w:rPr>
          <w:sz w:val="22"/>
          <w:szCs w:val="22"/>
        </w:rPr>
        <w:t xml:space="preserve"> (16.sz. melléklet)</w:t>
      </w:r>
      <w:r w:rsidR="00E62404" w:rsidRPr="00262F5B">
        <w:rPr>
          <w:sz w:val="22"/>
          <w:szCs w:val="22"/>
        </w:rPr>
        <w:t>.</w:t>
      </w:r>
      <w:r w:rsidR="009A7E4D">
        <w:rPr>
          <w:sz w:val="22"/>
          <w:szCs w:val="22"/>
        </w:rPr>
        <w:t xml:space="preserve"> Ez utóbbi hitel felvételére 2019. évben került sor.</w:t>
      </w:r>
      <w:r w:rsidR="00A504DD">
        <w:rPr>
          <w:sz w:val="22"/>
          <w:szCs w:val="22"/>
        </w:rPr>
        <w:t xml:space="preserve"> A 20</w:t>
      </w:r>
      <w:r w:rsidR="001F1DF3">
        <w:rPr>
          <w:sz w:val="22"/>
          <w:szCs w:val="22"/>
        </w:rPr>
        <w:t>20</w:t>
      </w:r>
      <w:r w:rsidR="00A504DD">
        <w:rPr>
          <w:sz w:val="22"/>
          <w:szCs w:val="22"/>
        </w:rPr>
        <w:t>. évi költségvetésben tervezett egyéb célokra tervezett fejlesztési hitelek igénybevételére nem került sor, mivel az EU-s pályázatokhoz elsődlegesen a kiegészítő támogatások lehetőségével élve igényel</w:t>
      </w:r>
      <w:r w:rsidR="001F1DF3">
        <w:rPr>
          <w:sz w:val="22"/>
          <w:szCs w:val="22"/>
        </w:rPr>
        <w:t>t</w:t>
      </w:r>
      <w:r w:rsidR="00A504DD">
        <w:rPr>
          <w:sz w:val="22"/>
          <w:szCs w:val="22"/>
        </w:rPr>
        <w:t>ük a szükséges forrást</w:t>
      </w:r>
      <w:r w:rsidR="001F1DF3">
        <w:rPr>
          <w:sz w:val="22"/>
          <w:szCs w:val="22"/>
        </w:rPr>
        <w:t>, amely sajnos nem érkezett meg.</w:t>
      </w:r>
      <w:r w:rsidR="00A504DD">
        <w:rPr>
          <w:sz w:val="22"/>
          <w:szCs w:val="22"/>
        </w:rPr>
        <w:t xml:space="preserve"> </w:t>
      </w:r>
      <w:r w:rsidR="001F1DF3">
        <w:rPr>
          <w:sz w:val="22"/>
          <w:szCs w:val="22"/>
        </w:rPr>
        <w:t xml:space="preserve">A hitel bevonásával tervezett beruházások megkezdésére 2021. évben kerül sor, így sem a kerékpárút építéséhez, sem a Papp tanyai út felújítás miatt nem volt 2020. évben hitelfelvétel. </w:t>
      </w:r>
      <w:r w:rsidR="00906BEF">
        <w:rPr>
          <w:sz w:val="22"/>
          <w:szCs w:val="22"/>
        </w:rPr>
        <w:t>Fejlesztési célú hitel törlesztésként 20</w:t>
      </w:r>
      <w:r w:rsidR="001F1DF3">
        <w:rPr>
          <w:sz w:val="22"/>
          <w:szCs w:val="22"/>
        </w:rPr>
        <w:t>20</w:t>
      </w:r>
      <w:r w:rsidR="00906BEF">
        <w:rPr>
          <w:sz w:val="22"/>
          <w:szCs w:val="22"/>
        </w:rPr>
        <w:t xml:space="preserve">. évben </w:t>
      </w:r>
      <w:r w:rsidR="001F1DF3">
        <w:rPr>
          <w:sz w:val="22"/>
          <w:szCs w:val="22"/>
        </w:rPr>
        <w:t>3.000.000</w:t>
      </w:r>
      <w:r w:rsidR="00906BEF">
        <w:rPr>
          <w:sz w:val="22"/>
          <w:szCs w:val="22"/>
        </w:rPr>
        <w:t xml:space="preserve"> Ft került teljesítésre.</w:t>
      </w:r>
    </w:p>
    <w:p w14:paraId="5B1B0E0F" w14:textId="77777777" w:rsidR="0055024A" w:rsidRPr="00605CF3" w:rsidRDefault="00EB3D63" w:rsidP="00605CF3">
      <w:pPr>
        <w:jc w:val="both"/>
        <w:rPr>
          <w:sz w:val="22"/>
          <w:szCs w:val="22"/>
        </w:rPr>
      </w:pPr>
      <w:r w:rsidRPr="00262F5B">
        <w:rPr>
          <w:sz w:val="22"/>
          <w:szCs w:val="22"/>
        </w:rPr>
        <w:t>Az id</w:t>
      </w:r>
      <w:r w:rsidR="00BB0418" w:rsidRPr="00262F5B">
        <w:rPr>
          <w:sz w:val="22"/>
          <w:szCs w:val="22"/>
        </w:rPr>
        <w:t>eiglenesen</w:t>
      </w:r>
      <w:r w:rsidRPr="00262F5B">
        <w:rPr>
          <w:sz w:val="22"/>
          <w:szCs w:val="22"/>
        </w:rPr>
        <w:t xml:space="preserve"> szabad pénzeszközök</w:t>
      </w:r>
      <w:r w:rsidR="00085D83">
        <w:rPr>
          <w:sz w:val="22"/>
          <w:szCs w:val="22"/>
        </w:rPr>
        <w:t>nek</w:t>
      </w:r>
      <w:r w:rsidR="00A504DD">
        <w:rPr>
          <w:sz w:val="22"/>
          <w:szCs w:val="22"/>
        </w:rPr>
        <w:t xml:space="preserve"> </w:t>
      </w:r>
      <w:r w:rsidR="00BE00F4">
        <w:rPr>
          <w:sz w:val="22"/>
          <w:szCs w:val="22"/>
        </w:rPr>
        <w:t>20</w:t>
      </w:r>
      <w:r w:rsidR="001F1DF3">
        <w:rPr>
          <w:sz w:val="22"/>
          <w:szCs w:val="22"/>
        </w:rPr>
        <w:t>20</w:t>
      </w:r>
      <w:r w:rsidR="00BE00F4">
        <w:rPr>
          <w:sz w:val="22"/>
          <w:szCs w:val="22"/>
        </w:rPr>
        <w:t>.</w:t>
      </w:r>
      <w:r w:rsidR="00A504DD">
        <w:rPr>
          <w:sz w:val="22"/>
          <w:szCs w:val="22"/>
        </w:rPr>
        <w:t xml:space="preserve"> évben</w:t>
      </w:r>
      <w:r w:rsidRPr="00262F5B">
        <w:rPr>
          <w:sz w:val="22"/>
          <w:szCs w:val="22"/>
        </w:rPr>
        <w:t xml:space="preserve"> </w:t>
      </w:r>
      <w:r w:rsidR="00E95997" w:rsidRPr="00262F5B">
        <w:rPr>
          <w:sz w:val="22"/>
          <w:szCs w:val="22"/>
        </w:rPr>
        <w:t>sem volt állománya</w:t>
      </w:r>
      <w:r w:rsidR="00BB0418" w:rsidRPr="00262F5B">
        <w:rPr>
          <w:sz w:val="22"/>
          <w:szCs w:val="22"/>
        </w:rPr>
        <w:t>.</w:t>
      </w:r>
    </w:p>
    <w:p w14:paraId="37F73F8C" w14:textId="77777777" w:rsidR="00223521" w:rsidRPr="00223521" w:rsidRDefault="00DD1B18" w:rsidP="00602B84">
      <w:pPr>
        <w:pStyle w:val="Szvegtrzs2"/>
        <w:numPr>
          <w:ilvl w:val="0"/>
          <w:numId w:val="8"/>
        </w:numPr>
        <w:spacing w:before="120"/>
        <w:rPr>
          <w:color w:val="000000"/>
          <w:szCs w:val="22"/>
          <w:u w:val="single"/>
          <w:lang w:val="hu-HU"/>
        </w:rPr>
      </w:pPr>
      <w:r w:rsidRPr="00223521">
        <w:rPr>
          <w:szCs w:val="22"/>
          <w:u w:val="single"/>
        </w:rPr>
        <w:t xml:space="preserve"> A vagyon</w:t>
      </w:r>
      <w:r w:rsidR="000C69A2">
        <w:rPr>
          <w:szCs w:val="22"/>
          <w:u w:val="single"/>
          <w:lang w:val="hu-HU"/>
        </w:rPr>
        <w:t xml:space="preserve"> és</w:t>
      </w:r>
      <w:r w:rsidR="00223521" w:rsidRPr="00223521">
        <w:rPr>
          <w:color w:val="000000"/>
          <w:szCs w:val="22"/>
          <w:u w:val="single"/>
          <w:lang w:val="hu-HU"/>
        </w:rPr>
        <w:t xml:space="preserve"> a m</w:t>
      </w:r>
      <w:proofErr w:type="spellStart"/>
      <w:r w:rsidR="00223521" w:rsidRPr="00223521">
        <w:rPr>
          <w:color w:val="000000"/>
          <w:szCs w:val="22"/>
          <w:u w:val="single"/>
        </w:rPr>
        <w:t>aradvány</w:t>
      </w:r>
      <w:proofErr w:type="spellEnd"/>
      <w:r w:rsidR="00223521" w:rsidRPr="00223521">
        <w:rPr>
          <w:color w:val="000000"/>
          <w:szCs w:val="22"/>
          <w:u w:val="single"/>
        </w:rPr>
        <w:t xml:space="preserve"> </w:t>
      </w:r>
      <w:r w:rsidR="00223521" w:rsidRPr="00223521">
        <w:rPr>
          <w:color w:val="000000"/>
          <w:szCs w:val="22"/>
          <w:u w:val="single"/>
          <w:lang w:val="hu-HU"/>
        </w:rPr>
        <w:t>alakulása</w:t>
      </w:r>
    </w:p>
    <w:p w14:paraId="234DBF7E" w14:textId="77777777" w:rsidR="00DD1B18" w:rsidRPr="00262F5B" w:rsidRDefault="00DD1B18" w:rsidP="00DD1B18">
      <w:pPr>
        <w:pStyle w:val="Szvegtrzs"/>
        <w:rPr>
          <w:b/>
          <w:szCs w:val="22"/>
        </w:rPr>
      </w:pPr>
    </w:p>
    <w:p w14:paraId="78B8123F" w14:textId="77777777" w:rsidR="00732A11" w:rsidRDefault="00732A11" w:rsidP="00732A11">
      <w:pPr>
        <w:jc w:val="both"/>
        <w:outlineLvl w:val="0"/>
        <w:rPr>
          <w:color w:val="000000"/>
          <w:sz w:val="22"/>
          <w:szCs w:val="22"/>
        </w:rPr>
      </w:pPr>
      <w:r w:rsidRPr="00262F5B">
        <w:rPr>
          <w:color w:val="000000"/>
          <w:sz w:val="22"/>
          <w:szCs w:val="22"/>
        </w:rPr>
        <w:t xml:space="preserve">Az intézmények és az önkormányzat </w:t>
      </w:r>
      <w:r w:rsidR="00311F6C">
        <w:rPr>
          <w:color w:val="000000"/>
          <w:sz w:val="22"/>
          <w:szCs w:val="22"/>
        </w:rPr>
        <w:t xml:space="preserve">felhalmozási kiadásainak alakulását a rendelet 3. sz. melléklete mutatja be. A költségvetési szervek </w:t>
      </w:r>
      <w:r w:rsidRPr="00262F5B">
        <w:rPr>
          <w:color w:val="000000"/>
          <w:sz w:val="22"/>
          <w:szCs w:val="22"/>
        </w:rPr>
        <w:t>20</w:t>
      </w:r>
      <w:r w:rsidR="00D27FF1">
        <w:rPr>
          <w:color w:val="000000"/>
          <w:sz w:val="22"/>
          <w:szCs w:val="22"/>
        </w:rPr>
        <w:t>20</w:t>
      </w:r>
      <w:r w:rsidRPr="00262F5B">
        <w:rPr>
          <w:color w:val="000000"/>
          <w:sz w:val="22"/>
          <w:szCs w:val="22"/>
        </w:rPr>
        <w:t xml:space="preserve">. évi maradványát a 12. sz. melléklet mutatja be </w:t>
      </w:r>
      <w:r w:rsidR="00311F6C">
        <w:rPr>
          <w:color w:val="000000"/>
          <w:sz w:val="22"/>
          <w:szCs w:val="22"/>
        </w:rPr>
        <w:t xml:space="preserve">intézményenkénti </w:t>
      </w:r>
      <w:r w:rsidRPr="00262F5B">
        <w:rPr>
          <w:color w:val="000000"/>
          <w:sz w:val="22"/>
          <w:szCs w:val="22"/>
        </w:rPr>
        <w:t xml:space="preserve">részletezésben, a pénzkészlet változását a 13. sz melléklet tartalmazza. Ezek a táblázatok a jelenleg hatályos számviteli jogszabályi előírásoknak megfelelően, valamint a Magyar Államkincstár felé benyújtott beszámoló 07/A Maradványkimutatás űrlapjához hasonló struktúrában </w:t>
      </w:r>
      <w:r w:rsidR="00311F6C">
        <w:rPr>
          <w:color w:val="000000"/>
          <w:sz w:val="22"/>
          <w:szCs w:val="22"/>
        </w:rPr>
        <w:t>tartalmazzák az adatokat</w:t>
      </w:r>
      <w:r>
        <w:rPr>
          <w:color w:val="000000"/>
          <w:sz w:val="22"/>
          <w:szCs w:val="22"/>
        </w:rPr>
        <w:t>.</w:t>
      </w:r>
    </w:p>
    <w:p w14:paraId="48A0F40C" w14:textId="77777777" w:rsidR="00732A11" w:rsidRPr="00262F5B" w:rsidRDefault="00732A11" w:rsidP="00732A11">
      <w:pPr>
        <w:jc w:val="both"/>
        <w:outlineLvl w:val="0"/>
        <w:rPr>
          <w:color w:val="FF0000"/>
          <w:szCs w:val="22"/>
        </w:rPr>
      </w:pPr>
    </w:p>
    <w:p w14:paraId="61BF3F42" w14:textId="77777777" w:rsidR="00DD1B18" w:rsidRDefault="00DD1B18" w:rsidP="00DD1B18">
      <w:pPr>
        <w:pStyle w:val="Szvegtrzs"/>
        <w:rPr>
          <w:color w:val="000000"/>
          <w:szCs w:val="22"/>
        </w:rPr>
      </w:pPr>
      <w:r w:rsidRPr="00202120">
        <w:rPr>
          <w:b/>
          <w:color w:val="000000"/>
          <w:szCs w:val="22"/>
        </w:rPr>
        <w:t>Napsugár Óvoda és Bölcsőde</w:t>
      </w:r>
      <w:r w:rsidRPr="00202120">
        <w:rPr>
          <w:color w:val="000000"/>
          <w:szCs w:val="22"/>
        </w:rPr>
        <w:t xml:space="preserve">  </w:t>
      </w:r>
    </w:p>
    <w:p w14:paraId="00EAAB16" w14:textId="77777777" w:rsidR="00F47BB3" w:rsidRPr="00314A4A" w:rsidRDefault="00F47BB3" w:rsidP="00F47BB3">
      <w:pPr>
        <w:pStyle w:val="Szvegtrzs"/>
        <w:rPr>
          <w:color w:val="000000"/>
          <w:szCs w:val="22"/>
          <w:lang w:val="hu-HU"/>
        </w:rPr>
      </w:pPr>
      <w:r w:rsidRPr="002A4E39">
        <w:rPr>
          <w:color w:val="000000"/>
          <w:szCs w:val="22"/>
        </w:rPr>
        <w:t xml:space="preserve">A </w:t>
      </w:r>
      <w:r>
        <w:rPr>
          <w:color w:val="000000"/>
          <w:szCs w:val="22"/>
          <w:lang w:val="hu-HU"/>
        </w:rPr>
        <w:t xml:space="preserve">vagyon </w:t>
      </w:r>
      <w:r w:rsidRPr="002A4E39">
        <w:rPr>
          <w:color w:val="000000"/>
          <w:szCs w:val="22"/>
        </w:rPr>
        <w:t>nyilvántartott értéke 201</w:t>
      </w:r>
      <w:r>
        <w:rPr>
          <w:color w:val="000000"/>
          <w:szCs w:val="22"/>
          <w:lang w:val="hu-HU"/>
        </w:rPr>
        <w:t>9</w:t>
      </w:r>
      <w:r w:rsidRPr="002A4E39">
        <w:rPr>
          <w:color w:val="000000"/>
          <w:szCs w:val="22"/>
        </w:rPr>
        <w:t xml:space="preserve">.12.31.-én  </w:t>
      </w:r>
      <w:r>
        <w:rPr>
          <w:color w:val="000000"/>
          <w:szCs w:val="22"/>
          <w:lang w:val="hu-HU"/>
        </w:rPr>
        <w:t>286.468.656</w:t>
      </w:r>
      <w:r w:rsidR="001B7682">
        <w:rPr>
          <w:color w:val="000000"/>
          <w:szCs w:val="22"/>
        </w:rPr>
        <w:t xml:space="preserve">  </w:t>
      </w:r>
      <w:r w:rsidRPr="002A4E39">
        <w:rPr>
          <w:color w:val="000000"/>
          <w:szCs w:val="22"/>
        </w:rPr>
        <w:t xml:space="preserve"> Ft volt, 20</w:t>
      </w:r>
      <w:r>
        <w:rPr>
          <w:color w:val="000000"/>
          <w:szCs w:val="22"/>
          <w:lang w:val="hu-HU"/>
        </w:rPr>
        <w:t>20</w:t>
      </w:r>
      <w:r w:rsidRPr="002A4E39">
        <w:rPr>
          <w:color w:val="000000"/>
          <w:szCs w:val="22"/>
        </w:rPr>
        <w:t>. december 31.-én,</w:t>
      </w:r>
      <w:r>
        <w:rPr>
          <w:color w:val="000000"/>
          <w:szCs w:val="22"/>
        </w:rPr>
        <w:t xml:space="preserve"> </w:t>
      </w:r>
      <w:bookmarkStart w:id="2" w:name="_Hlk43206113"/>
      <w:r>
        <w:rPr>
          <w:color w:val="000000"/>
          <w:szCs w:val="22"/>
          <w:lang w:val="hu-HU"/>
        </w:rPr>
        <w:t>280.350.352</w:t>
      </w:r>
      <w:r w:rsidR="001B7682">
        <w:rPr>
          <w:color w:val="000000"/>
          <w:szCs w:val="22"/>
        </w:rPr>
        <w:t xml:space="preserve">  </w:t>
      </w:r>
      <w:bookmarkEnd w:id="2"/>
      <w:r w:rsidRPr="002A4E39">
        <w:rPr>
          <w:color w:val="000000"/>
          <w:szCs w:val="22"/>
        </w:rPr>
        <w:t>Ft-ra csökkent.</w:t>
      </w:r>
      <w:r w:rsidR="00314A4A">
        <w:rPr>
          <w:color w:val="000000"/>
          <w:szCs w:val="22"/>
          <w:lang w:val="hu-HU"/>
        </w:rPr>
        <w:t xml:space="preserve"> A pénzeszközök állománya 627.352</w:t>
      </w:r>
      <w:r w:rsidR="001B7682">
        <w:rPr>
          <w:color w:val="000000"/>
          <w:szCs w:val="22"/>
          <w:lang w:val="hu-HU"/>
        </w:rPr>
        <w:t xml:space="preserve">  </w:t>
      </w:r>
      <w:r w:rsidR="00314A4A">
        <w:rPr>
          <w:color w:val="000000"/>
          <w:szCs w:val="22"/>
          <w:lang w:val="hu-HU"/>
        </w:rPr>
        <w:t xml:space="preserve"> Ft-ról 29.386</w:t>
      </w:r>
      <w:r w:rsidR="001B7682">
        <w:rPr>
          <w:color w:val="000000"/>
          <w:szCs w:val="22"/>
          <w:lang w:val="hu-HU"/>
        </w:rPr>
        <w:t xml:space="preserve">  </w:t>
      </w:r>
      <w:r w:rsidR="00314A4A">
        <w:rPr>
          <w:color w:val="000000"/>
          <w:szCs w:val="22"/>
          <w:lang w:val="hu-HU"/>
        </w:rPr>
        <w:t xml:space="preserve"> Ft-ra csökkent. </w:t>
      </w:r>
    </w:p>
    <w:p w14:paraId="45B211E1" w14:textId="77777777" w:rsidR="002613AE" w:rsidRDefault="002613AE" w:rsidP="002613AE">
      <w:pPr>
        <w:jc w:val="both"/>
        <w:rPr>
          <w:sz w:val="22"/>
          <w:szCs w:val="22"/>
        </w:rPr>
      </w:pPr>
      <w:r w:rsidRPr="00A26AFA">
        <w:rPr>
          <w:sz w:val="22"/>
          <w:szCs w:val="22"/>
        </w:rPr>
        <w:t xml:space="preserve">A költségvetés tervezésekor az eredeti előirányzatban felhalmozási kiadás nem került tervezésre, </w:t>
      </w:r>
      <w:r w:rsidRPr="003A07C4">
        <w:rPr>
          <w:sz w:val="22"/>
          <w:szCs w:val="22"/>
        </w:rPr>
        <w:t>azonban a 2020</w:t>
      </w:r>
      <w:r>
        <w:rPr>
          <w:sz w:val="22"/>
          <w:szCs w:val="22"/>
        </w:rPr>
        <w:t>-a</w:t>
      </w:r>
      <w:r w:rsidRPr="003A07C4">
        <w:rPr>
          <w:sz w:val="22"/>
          <w:szCs w:val="22"/>
        </w:rPr>
        <w:t xml:space="preserve">s év folyamán keletkezett bérmegtakarítás terhére 4.874.128 Ft került átcsoportosításra. </w:t>
      </w:r>
      <w:r>
        <w:rPr>
          <w:sz w:val="22"/>
          <w:szCs w:val="22"/>
        </w:rPr>
        <w:t>Az eszközállomány így 2020</w:t>
      </w:r>
      <w:r w:rsidRPr="00A26AFA">
        <w:rPr>
          <w:sz w:val="22"/>
          <w:szCs w:val="22"/>
        </w:rPr>
        <w:t>. évben</w:t>
      </w:r>
      <w:r>
        <w:rPr>
          <w:sz w:val="22"/>
          <w:szCs w:val="22"/>
        </w:rPr>
        <w:t xml:space="preserve"> 6 db notebookkal, 1 db nyomtatóval, 2 db fűnyíróval, 1 db sövényvágóval, 23 db szőnyeggel, 3 db porszívóval, 4 db hangszóróval, 30 db pendrive-val, 2 db íróasztallal, 4 db forgószékkel, 11 db gyermekheverővel, 3 db televízióval, 8 db </w:t>
      </w:r>
      <w:r>
        <w:rPr>
          <w:sz w:val="22"/>
          <w:szCs w:val="22"/>
        </w:rPr>
        <w:lastRenderedPageBreak/>
        <w:t>öltözőszekrénnyel, lakástextíliákkal bővült, továbbá a Matáv épülethez árnyékoló felszereltetése is ennek az összegnek a terhére valósulhatott meg.</w:t>
      </w:r>
    </w:p>
    <w:p w14:paraId="5B64C8FE" w14:textId="71C75709" w:rsidR="002613AE" w:rsidRPr="00AE64A9" w:rsidRDefault="002613AE" w:rsidP="002613AE">
      <w:pPr>
        <w:jc w:val="both"/>
        <w:rPr>
          <w:color w:val="FF0000"/>
          <w:sz w:val="22"/>
          <w:szCs w:val="22"/>
        </w:rPr>
      </w:pPr>
      <w:r w:rsidRPr="00C620E1">
        <w:rPr>
          <w:sz w:val="22"/>
          <w:szCs w:val="22"/>
        </w:rPr>
        <w:t>Az intézménynek 2020. december 31-</w:t>
      </w:r>
      <w:r w:rsidR="00CF295C" w:rsidRPr="00C620E1">
        <w:rPr>
          <w:sz w:val="22"/>
          <w:szCs w:val="22"/>
        </w:rPr>
        <w:t xml:space="preserve">én </w:t>
      </w:r>
      <w:r w:rsidR="00CF295C">
        <w:rPr>
          <w:sz w:val="22"/>
          <w:szCs w:val="22"/>
        </w:rPr>
        <w:t>956.525</w:t>
      </w:r>
      <w:r w:rsidRPr="003A07C4">
        <w:rPr>
          <w:sz w:val="22"/>
          <w:szCs w:val="22"/>
        </w:rPr>
        <w:t xml:space="preserve"> </w:t>
      </w:r>
      <w:r w:rsidRPr="00C620E1">
        <w:rPr>
          <w:sz w:val="22"/>
          <w:szCs w:val="22"/>
        </w:rPr>
        <w:t>Ft maradványa keletkezett.</w:t>
      </w:r>
    </w:p>
    <w:p w14:paraId="447F9EED" w14:textId="77777777" w:rsidR="004221A6" w:rsidRPr="00707745" w:rsidRDefault="004221A6" w:rsidP="00707745">
      <w:pPr>
        <w:jc w:val="both"/>
        <w:rPr>
          <w:b/>
          <w:sz w:val="22"/>
          <w:szCs w:val="22"/>
        </w:rPr>
      </w:pPr>
    </w:p>
    <w:p w14:paraId="6F00BE17" w14:textId="77777777" w:rsidR="00EC474E" w:rsidRDefault="001A5FB2" w:rsidP="00EC474E">
      <w:pPr>
        <w:jc w:val="both"/>
        <w:outlineLvl w:val="0"/>
        <w:rPr>
          <w:b/>
          <w:sz w:val="22"/>
          <w:szCs w:val="22"/>
        </w:rPr>
      </w:pPr>
      <w:r w:rsidRPr="001A5FB2">
        <w:rPr>
          <w:b/>
          <w:sz w:val="22"/>
          <w:szCs w:val="22"/>
        </w:rPr>
        <w:t>Városgondnokság</w:t>
      </w:r>
    </w:p>
    <w:p w14:paraId="0A8969F3" w14:textId="77777777" w:rsidR="00DC043B" w:rsidRPr="00DC043B" w:rsidRDefault="00DC043B" w:rsidP="00DC043B">
      <w:pPr>
        <w:contextualSpacing/>
        <w:jc w:val="both"/>
        <w:outlineLvl w:val="0"/>
        <w:rPr>
          <w:sz w:val="22"/>
          <w:szCs w:val="22"/>
        </w:rPr>
      </w:pPr>
      <w:r w:rsidRPr="00DC043B">
        <w:rPr>
          <w:sz w:val="22"/>
          <w:szCs w:val="22"/>
        </w:rPr>
        <w:t xml:space="preserve">A Városgondnokság 2020.évi maradványa 398.97 Ft. </w:t>
      </w:r>
    </w:p>
    <w:p w14:paraId="54B250D7" w14:textId="77777777" w:rsidR="00DC043B" w:rsidRPr="00DC043B" w:rsidRDefault="00DC043B" w:rsidP="00DC043B">
      <w:pPr>
        <w:contextualSpacing/>
        <w:jc w:val="both"/>
        <w:outlineLvl w:val="0"/>
        <w:rPr>
          <w:sz w:val="22"/>
          <w:szCs w:val="22"/>
        </w:rPr>
      </w:pPr>
      <w:r w:rsidRPr="00DC043B">
        <w:rPr>
          <w:bCs/>
          <w:sz w:val="22"/>
          <w:szCs w:val="22"/>
        </w:rPr>
        <w:t>Pénzkészlet állománya:</w:t>
      </w:r>
      <w:r w:rsidRPr="00DC043B">
        <w:rPr>
          <w:b/>
          <w:sz w:val="22"/>
          <w:szCs w:val="22"/>
        </w:rPr>
        <w:t xml:space="preserve"> </w:t>
      </w:r>
      <w:r w:rsidRPr="00DC043B">
        <w:rPr>
          <w:sz w:val="22"/>
          <w:szCs w:val="22"/>
        </w:rPr>
        <w:t>3.531.050</w:t>
      </w:r>
      <w:r>
        <w:rPr>
          <w:sz w:val="22"/>
          <w:szCs w:val="22"/>
        </w:rPr>
        <w:t xml:space="preserve"> </w:t>
      </w:r>
      <w:r w:rsidRPr="00DC043B">
        <w:rPr>
          <w:sz w:val="22"/>
          <w:szCs w:val="22"/>
        </w:rPr>
        <w:t>Ft</w:t>
      </w:r>
      <w:r>
        <w:rPr>
          <w:sz w:val="22"/>
          <w:szCs w:val="22"/>
        </w:rPr>
        <w:t>,</w:t>
      </w:r>
      <w:r w:rsidRPr="00DC043B">
        <w:rPr>
          <w:sz w:val="22"/>
          <w:szCs w:val="22"/>
        </w:rPr>
        <w:t xml:space="preserve"> ebből közfoglalkoztatottak részére 2 havi bérelőleg elkülönített bankszámlán: 2.919.662</w:t>
      </w:r>
      <w:r w:rsidR="009E0234">
        <w:rPr>
          <w:sz w:val="22"/>
          <w:szCs w:val="22"/>
        </w:rPr>
        <w:t xml:space="preserve"> </w:t>
      </w:r>
      <w:r w:rsidRPr="00DC043B">
        <w:rPr>
          <w:sz w:val="22"/>
          <w:szCs w:val="22"/>
        </w:rPr>
        <w:t>Ft, költségvetési bankszámla egyenlege: 357.130</w:t>
      </w:r>
      <w:r w:rsidR="009E0234">
        <w:rPr>
          <w:sz w:val="22"/>
          <w:szCs w:val="22"/>
        </w:rPr>
        <w:t xml:space="preserve"> </w:t>
      </w:r>
      <w:r w:rsidRPr="00DC043B">
        <w:rPr>
          <w:sz w:val="22"/>
          <w:szCs w:val="22"/>
        </w:rPr>
        <w:t>Ft, környezetvédelmi bankszámla egyenlege 54.258</w:t>
      </w:r>
      <w:r>
        <w:rPr>
          <w:sz w:val="22"/>
          <w:szCs w:val="22"/>
        </w:rPr>
        <w:t xml:space="preserve"> </w:t>
      </w:r>
      <w:r w:rsidRPr="00DC043B">
        <w:rPr>
          <w:sz w:val="22"/>
          <w:szCs w:val="22"/>
        </w:rPr>
        <w:t>Ft, nem veszélyes hulladék gyűjtési és szállítása miatt zárolt számla egyenlege</w:t>
      </w:r>
      <w:r w:rsidR="009E0234">
        <w:rPr>
          <w:sz w:val="22"/>
          <w:szCs w:val="22"/>
        </w:rPr>
        <w:t xml:space="preserve"> </w:t>
      </w:r>
      <w:r w:rsidRPr="00DC043B">
        <w:rPr>
          <w:sz w:val="22"/>
          <w:szCs w:val="22"/>
        </w:rPr>
        <w:t>200.000</w:t>
      </w:r>
      <w:r w:rsidR="009E0234">
        <w:rPr>
          <w:sz w:val="22"/>
          <w:szCs w:val="22"/>
        </w:rPr>
        <w:t xml:space="preserve"> </w:t>
      </w:r>
      <w:r w:rsidRPr="00DC043B">
        <w:rPr>
          <w:sz w:val="22"/>
          <w:szCs w:val="22"/>
        </w:rPr>
        <w:t xml:space="preserve">Ft. </w:t>
      </w:r>
      <w:r w:rsidRPr="00DC043B">
        <w:rPr>
          <w:bCs/>
          <w:sz w:val="22"/>
          <w:szCs w:val="22"/>
        </w:rPr>
        <w:t>Záró pénzállomány</w:t>
      </w:r>
      <w:r w:rsidR="009E0234">
        <w:rPr>
          <w:bCs/>
          <w:sz w:val="22"/>
          <w:szCs w:val="22"/>
        </w:rPr>
        <w:t xml:space="preserve"> </w:t>
      </w:r>
      <w:r w:rsidRPr="00DC043B">
        <w:rPr>
          <w:sz w:val="22"/>
          <w:szCs w:val="22"/>
        </w:rPr>
        <w:t>3.166.29</w:t>
      </w:r>
      <w:r w:rsidR="009E0234">
        <w:rPr>
          <w:sz w:val="22"/>
          <w:szCs w:val="22"/>
        </w:rPr>
        <w:t xml:space="preserve">9 </w:t>
      </w:r>
      <w:r w:rsidRPr="00DC043B">
        <w:rPr>
          <w:sz w:val="22"/>
          <w:szCs w:val="22"/>
        </w:rPr>
        <w:t>Ft</w:t>
      </w:r>
      <w:r>
        <w:rPr>
          <w:sz w:val="22"/>
          <w:szCs w:val="22"/>
        </w:rPr>
        <w:t>,</w:t>
      </w:r>
      <w:r w:rsidRPr="00DC043B">
        <w:rPr>
          <w:sz w:val="22"/>
          <w:szCs w:val="22"/>
        </w:rPr>
        <w:t xml:space="preserve"> ebből költségvetési számla egyenlege 864.550</w:t>
      </w:r>
      <w:r>
        <w:rPr>
          <w:sz w:val="22"/>
          <w:szCs w:val="22"/>
        </w:rPr>
        <w:t xml:space="preserve"> </w:t>
      </w:r>
      <w:r w:rsidRPr="00DC043B">
        <w:rPr>
          <w:sz w:val="22"/>
          <w:szCs w:val="22"/>
        </w:rPr>
        <w:t>Ft és környezetvédelmi bankszámla egyenlege 54.258</w:t>
      </w:r>
      <w:r w:rsidR="009E0234">
        <w:rPr>
          <w:sz w:val="22"/>
          <w:szCs w:val="22"/>
        </w:rPr>
        <w:t xml:space="preserve"> </w:t>
      </w:r>
      <w:r w:rsidRPr="00DC043B">
        <w:rPr>
          <w:sz w:val="22"/>
          <w:szCs w:val="22"/>
        </w:rPr>
        <w:t>Ft, nem veszélyes hulladék gyűjtése és szállítása miatt zárolt bankszámla egyenlege 200.000</w:t>
      </w:r>
      <w:r>
        <w:rPr>
          <w:sz w:val="22"/>
          <w:szCs w:val="22"/>
        </w:rPr>
        <w:t xml:space="preserve"> </w:t>
      </w:r>
      <w:r w:rsidRPr="00DC043B">
        <w:rPr>
          <w:sz w:val="22"/>
          <w:szCs w:val="22"/>
        </w:rPr>
        <w:t>Ft és a közfoglalkoztatottak 2 havi bérelőlege miatt erre a célra elkülönített bankszámla egyenlege 2.047.491</w:t>
      </w:r>
      <w:r>
        <w:rPr>
          <w:sz w:val="22"/>
          <w:szCs w:val="22"/>
        </w:rPr>
        <w:t xml:space="preserve"> </w:t>
      </w:r>
      <w:r w:rsidRPr="00DC043B">
        <w:rPr>
          <w:sz w:val="22"/>
          <w:szCs w:val="22"/>
        </w:rPr>
        <w:t>Ft.</w:t>
      </w:r>
    </w:p>
    <w:p w14:paraId="57D41F79" w14:textId="77777777" w:rsidR="00DC043B" w:rsidRPr="00DC043B" w:rsidRDefault="00DC043B" w:rsidP="00DC043B">
      <w:pPr>
        <w:tabs>
          <w:tab w:val="left" w:pos="2989"/>
        </w:tabs>
        <w:contextualSpacing/>
        <w:jc w:val="both"/>
        <w:rPr>
          <w:sz w:val="22"/>
          <w:szCs w:val="22"/>
        </w:rPr>
      </w:pPr>
      <w:r w:rsidRPr="00DC043B">
        <w:rPr>
          <w:sz w:val="22"/>
          <w:szCs w:val="22"/>
        </w:rPr>
        <w:t xml:space="preserve">Beruházási kiadásokra fordított összegek forrása: az eredeti költségvetésben betervezett tárgyi eszközök kiadása. A megvalósult beruházások az alábbi részletezésben: </w:t>
      </w:r>
    </w:p>
    <w:p w14:paraId="7FC836DA" w14:textId="77777777" w:rsidR="00DC043B" w:rsidRPr="00DC043B" w:rsidRDefault="00DC043B" w:rsidP="00DC043B">
      <w:pPr>
        <w:tabs>
          <w:tab w:val="left" w:pos="2989"/>
        </w:tabs>
        <w:contextualSpacing/>
        <w:jc w:val="both"/>
        <w:rPr>
          <w:sz w:val="22"/>
          <w:szCs w:val="22"/>
        </w:rPr>
      </w:pPr>
      <w:r w:rsidRPr="00DC043B">
        <w:rPr>
          <w:sz w:val="22"/>
          <w:szCs w:val="22"/>
        </w:rPr>
        <w:t>A Bessenyei úti óvoda konyhájára kisértékű tárgyieszközként konyhamérleget vásároltak 12.990</w:t>
      </w:r>
      <w:r>
        <w:rPr>
          <w:sz w:val="22"/>
          <w:szCs w:val="22"/>
        </w:rPr>
        <w:t xml:space="preserve"> </w:t>
      </w:r>
      <w:r w:rsidRPr="00DC043B">
        <w:rPr>
          <w:sz w:val="22"/>
          <w:szCs w:val="22"/>
        </w:rPr>
        <w:t>Ft összegben.</w:t>
      </w:r>
    </w:p>
    <w:p w14:paraId="3EED377D" w14:textId="77777777" w:rsidR="00DC043B" w:rsidRPr="00DC043B" w:rsidRDefault="00DC043B" w:rsidP="00DC043B">
      <w:pPr>
        <w:tabs>
          <w:tab w:val="left" w:pos="2989"/>
        </w:tabs>
        <w:contextualSpacing/>
        <w:jc w:val="both"/>
        <w:rPr>
          <w:sz w:val="22"/>
          <w:szCs w:val="22"/>
        </w:rPr>
      </w:pPr>
      <w:r w:rsidRPr="00DC043B">
        <w:rPr>
          <w:sz w:val="22"/>
          <w:szCs w:val="22"/>
        </w:rPr>
        <w:t>Az iskola és az óvoda konyhára 1-1 db monitor cseréjét hajtották végre 107.960</w:t>
      </w:r>
      <w:r>
        <w:rPr>
          <w:sz w:val="22"/>
          <w:szCs w:val="22"/>
        </w:rPr>
        <w:t xml:space="preserve"> </w:t>
      </w:r>
      <w:r w:rsidRPr="00DC043B">
        <w:rPr>
          <w:sz w:val="22"/>
          <w:szCs w:val="22"/>
        </w:rPr>
        <w:t xml:space="preserve">Ft összegben a folyamatos és zökkenőmentes munkavégzés érdekében. </w:t>
      </w:r>
    </w:p>
    <w:p w14:paraId="2D769EA3" w14:textId="77777777" w:rsidR="00DC043B" w:rsidRPr="00DC043B" w:rsidRDefault="00DC043B" w:rsidP="00DC043B">
      <w:pPr>
        <w:tabs>
          <w:tab w:val="left" w:pos="2989"/>
        </w:tabs>
        <w:contextualSpacing/>
        <w:jc w:val="both"/>
        <w:rPr>
          <w:sz w:val="22"/>
          <w:szCs w:val="22"/>
        </w:rPr>
      </w:pPr>
      <w:r w:rsidRPr="00DC043B">
        <w:rPr>
          <w:sz w:val="22"/>
          <w:szCs w:val="22"/>
        </w:rPr>
        <w:t>Az iskola konyhára egy főzőüst beszerzését valósítottak meg 1.536.700</w:t>
      </w:r>
      <w:r>
        <w:rPr>
          <w:sz w:val="22"/>
          <w:szCs w:val="22"/>
        </w:rPr>
        <w:t xml:space="preserve"> </w:t>
      </w:r>
      <w:r w:rsidRPr="00DC043B">
        <w:rPr>
          <w:sz w:val="22"/>
          <w:szCs w:val="22"/>
        </w:rPr>
        <w:t xml:space="preserve">Ft értékben. </w:t>
      </w:r>
    </w:p>
    <w:p w14:paraId="3AB0A018" w14:textId="77777777" w:rsidR="00DC043B" w:rsidRPr="00DC043B" w:rsidRDefault="00DC043B" w:rsidP="00DC043B">
      <w:pPr>
        <w:tabs>
          <w:tab w:val="left" w:pos="2989"/>
        </w:tabs>
        <w:contextualSpacing/>
        <w:jc w:val="both"/>
        <w:rPr>
          <w:sz w:val="22"/>
          <w:szCs w:val="22"/>
        </w:rPr>
      </w:pPr>
      <w:r w:rsidRPr="00DC043B">
        <w:rPr>
          <w:sz w:val="22"/>
          <w:szCs w:val="22"/>
        </w:rPr>
        <w:t>A kempingben bútorok, vendégágyak és vízmelegítő megvásárlása történt 659.150</w:t>
      </w:r>
      <w:r>
        <w:rPr>
          <w:sz w:val="22"/>
          <w:szCs w:val="22"/>
        </w:rPr>
        <w:t xml:space="preserve"> </w:t>
      </w:r>
      <w:r w:rsidRPr="00DC043B">
        <w:rPr>
          <w:sz w:val="22"/>
          <w:szCs w:val="22"/>
        </w:rPr>
        <w:t>Ft értékben.</w:t>
      </w:r>
    </w:p>
    <w:p w14:paraId="24FA7A22" w14:textId="4C15E333" w:rsidR="00DC043B" w:rsidRPr="00DC043B" w:rsidRDefault="00DC043B" w:rsidP="00DC043B">
      <w:pPr>
        <w:tabs>
          <w:tab w:val="left" w:pos="2989"/>
        </w:tabs>
        <w:contextualSpacing/>
        <w:jc w:val="both"/>
        <w:rPr>
          <w:sz w:val="22"/>
          <w:szCs w:val="22"/>
        </w:rPr>
      </w:pPr>
      <w:r w:rsidRPr="00DC043B">
        <w:rPr>
          <w:sz w:val="22"/>
          <w:szCs w:val="22"/>
        </w:rPr>
        <w:t>A felújítások között eredetileg betervezett Magyaros Ízvilág és Étterem és a Barankovics tér 7.</w:t>
      </w:r>
      <w:r w:rsidR="00CF295C" w:rsidRPr="00DC043B">
        <w:rPr>
          <w:sz w:val="22"/>
          <w:szCs w:val="22"/>
        </w:rPr>
        <w:t>sz. alatti</w:t>
      </w:r>
      <w:r w:rsidRPr="00DC043B">
        <w:rPr>
          <w:sz w:val="22"/>
          <w:szCs w:val="22"/>
        </w:rPr>
        <w:t xml:space="preserve"> „Virágbolt” felújítási költségének kompenzációja is megtörtént 635.000</w:t>
      </w:r>
      <w:r>
        <w:rPr>
          <w:sz w:val="22"/>
          <w:szCs w:val="22"/>
        </w:rPr>
        <w:t xml:space="preserve"> </w:t>
      </w:r>
      <w:r w:rsidRPr="00DC043B">
        <w:rPr>
          <w:sz w:val="22"/>
          <w:szCs w:val="22"/>
        </w:rPr>
        <w:t>Ft és 762.000</w:t>
      </w:r>
      <w:r w:rsidR="00CF295C">
        <w:rPr>
          <w:sz w:val="22"/>
          <w:szCs w:val="22"/>
        </w:rPr>
        <w:t xml:space="preserve"> </w:t>
      </w:r>
      <w:r w:rsidR="00CF295C" w:rsidRPr="00DC043B">
        <w:rPr>
          <w:sz w:val="22"/>
          <w:szCs w:val="22"/>
        </w:rPr>
        <w:t>Ft összegben</w:t>
      </w:r>
      <w:r w:rsidRPr="00DC043B">
        <w:rPr>
          <w:sz w:val="22"/>
          <w:szCs w:val="22"/>
        </w:rPr>
        <w:t>.</w:t>
      </w:r>
    </w:p>
    <w:p w14:paraId="382C33C8" w14:textId="77777777" w:rsidR="00DC043B" w:rsidRPr="00DC043B" w:rsidRDefault="00DC043B" w:rsidP="00DC043B">
      <w:pPr>
        <w:tabs>
          <w:tab w:val="left" w:pos="2989"/>
        </w:tabs>
        <w:contextualSpacing/>
        <w:jc w:val="both"/>
        <w:rPr>
          <w:sz w:val="22"/>
          <w:szCs w:val="22"/>
        </w:rPr>
      </w:pPr>
      <w:r w:rsidRPr="00DC043B">
        <w:rPr>
          <w:sz w:val="22"/>
          <w:szCs w:val="22"/>
        </w:rPr>
        <w:t>Az Óvoda konyhára térelválasztó ajtó beépítése megvalósult 246.389</w:t>
      </w:r>
      <w:r>
        <w:rPr>
          <w:sz w:val="22"/>
          <w:szCs w:val="22"/>
        </w:rPr>
        <w:t xml:space="preserve"> </w:t>
      </w:r>
      <w:r w:rsidRPr="00DC043B">
        <w:rPr>
          <w:sz w:val="22"/>
          <w:szCs w:val="22"/>
        </w:rPr>
        <w:t>Ft összegben.</w:t>
      </w:r>
    </w:p>
    <w:p w14:paraId="12CB59CC" w14:textId="77777777" w:rsidR="00EC474E" w:rsidRDefault="00EC474E" w:rsidP="00F4281C">
      <w:pPr>
        <w:pStyle w:val="Szvegtrzs"/>
        <w:rPr>
          <w:b/>
          <w:iCs/>
          <w:szCs w:val="22"/>
        </w:rPr>
      </w:pPr>
    </w:p>
    <w:p w14:paraId="1E40AE4B" w14:textId="77777777" w:rsidR="00F4281C" w:rsidRPr="00262F5B" w:rsidRDefault="00F4281C" w:rsidP="00F4281C">
      <w:pPr>
        <w:pStyle w:val="Szvegtrzs"/>
        <w:rPr>
          <w:b/>
          <w:iCs/>
          <w:szCs w:val="22"/>
        </w:rPr>
      </w:pPr>
      <w:r w:rsidRPr="00262F5B">
        <w:rPr>
          <w:b/>
          <w:iCs/>
          <w:szCs w:val="22"/>
        </w:rPr>
        <w:t xml:space="preserve">Ady Endre Művelődési Központ és Könyvtár </w:t>
      </w:r>
    </w:p>
    <w:p w14:paraId="326B3C27" w14:textId="37BEB65E" w:rsidR="00250ED3" w:rsidRDefault="00250ED3" w:rsidP="00250ED3">
      <w:pPr>
        <w:contextualSpacing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A felhalmozási kiadások </w:t>
      </w:r>
      <w:r>
        <w:rPr>
          <w:color w:val="000000"/>
          <w:sz w:val="22"/>
          <w:szCs w:val="22"/>
        </w:rPr>
        <w:t>e</w:t>
      </w:r>
      <w:r w:rsidRPr="00692B48">
        <w:rPr>
          <w:color w:val="000000"/>
          <w:sz w:val="22"/>
          <w:szCs w:val="22"/>
        </w:rPr>
        <w:t xml:space="preserve">redeti </w:t>
      </w:r>
      <w:proofErr w:type="spellStart"/>
      <w:r w:rsidR="00D839D7">
        <w:rPr>
          <w:color w:val="000000"/>
          <w:sz w:val="22"/>
          <w:szCs w:val="22"/>
        </w:rPr>
        <w:t>ei</w:t>
      </w:r>
      <w:proofErr w:type="spellEnd"/>
      <w:r w:rsidR="00D839D7">
        <w:rPr>
          <w:color w:val="000000"/>
          <w:sz w:val="22"/>
          <w:szCs w:val="22"/>
        </w:rPr>
        <w:t>.</w:t>
      </w:r>
      <w:r w:rsidRPr="00692B48">
        <w:rPr>
          <w:color w:val="000000"/>
          <w:sz w:val="22"/>
          <w:szCs w:val="22"/>
        </w:rPr>
        <w:t xml:space="preserve">: </w:t>
      </w:r>
      <w:r w:rsidR="00CF295C" w:rsidRPr="00692B48">
        <w:rPr>
          <w:color w:val="000000"/>
          <w:sz w:val="22"/>
          <w:szCs w:val="22"/>
        </w:rPr>
        <w:t>3.000.000</w:t>
      </w:r>
      <w:r w:rsidR="00CF295C">
        <w:rPr>
          <w:color w:val="000000"/>
          <w:sz w:val="22"/>
          <w:szCs w:val="22"/>
        </w:rPr>
        <w:t xml:space="preserve"> Ft</w:t>
      </w:r>
      <w:r w:rsidRPr="00692B48">
        <w:rPr>
          <w:color w:val="000000"/>
          <w:sz w:val="22"/>
          <w:szCs w:val="22"/>
        </w:rPr>
        <w:t xml:space="preserve">, módosított </w:t>
      </w:r>
      <w:proofErr w:type="spellStart"/>
      <w:r w:rsidR="00D839D7">
        <w:rPr>
          <w:color w:val="000000"/>
          <w:sz w:val="22"/>
          <w:szCs w:val="22"/>
        </w:rPr>
        <w:t>ei</w:t>
      </w:r>
      <w:proofErr w:type="spellEnd"/>
      <w:r w:rsidR="00D839D7">
        <w:rPr>
          <w:color w:val="000000"/>
          <w:sz w:val="22"/>
          <w:szCs w:val="22"/>
        </w:rPr>
        <w:t>.</w:t>
      </w:r>
      <w:r w:rsidRPr="00692B48">
        <w:rPr>
          <w:color w:val="000000"/>
          <w:sz w:val="22"/>
          <w:szCs w:val="22"/>
        </w:rPr>
        <w:t xml:space="preserve">: 4.033.325 </w:t>
      </w:r>
      <w:r w:rsidR="001B7682">
        <w:rPr>
          <w:color w:val="000000"/>
          <w:sz w:val="22"/>
          <w:szCs w:val="22"/>
        </w:rPr>
        <w:t xml:space="preserve">  </w:t>
      </w:r>
      <w:r w:rsidRPr="00692B48">
        <w:rPr>
          <w:color w:val="000000"/>
          <w:sz w:val="22"/>
          <w:szCs w:val="22"/>
        </w:rPr>
        <w:t xml:space="preserve">Ft, </w:t>
      </w:r>
      <w:r w:rsidR="00CF295C" w:rsidRPr="00692B48">
        <w:rPr>
          <w:color w:val="000000"/>
          <w:sz w:val="22"/>
          <w:szCs w:val="22"/>
        </w:rPr>
        <w:t xml:space="preserve">teljesítés: </w:t>
      </w:r>
      <w:proofErr w:type="gramStart"/>
      <w:r w:rsidR="00CF295C" w:rsidRPr="00692B48">
        <w:rPr>
          <w:color w:val="000000"/>
          <w:sz w:val="22"/>
          <w:szCs w:val="22"/>
        </w:rPr>
        <w:t>79.395</w:t>
      </w:r>
      <w:r w:rsidR="001B7682">
        <w:rPr>
          <w:color w:val="000000"/>
          <w:sz w:val="22"/>
          <w:szCs w:val="22"/>
        </w:rPr>
        <w:t xml:space="preserve">  </w:t>
      </w:r>
      <w:r w:rsidRPr="00692B48">
        <w:rPr>
          <w:color w:val="000000"/>
          <w:sz w:val="22"/>
          <w:szCs w:val="22"/>
        </w:rPr>
        <w:t>Ft.</w:t>
      </w:r>
      <w:proofErr w:type="gramEnd"/>
      <w:r w:rsidRPr="00692B48">
        <w:rPr>
          <w:color w:val="000000"/>
          <w:sz w:val="22"/>
          <w:szCs w:val="22"/>
        </w:rPr>
        <w:t xml:space="preserve">  </w:t>
      </w:r>
      <w:r w:rsidRPr="00692B48">
        <w:rPr>
          <w:sz w:val="22"/>
          <w:szCs w:val="22"/>
        </w:rPr>
        <w:t xml:space="preserve">Az intézmény költségvetésében érdekeltségnövelő támogatás és az önrésze terhére, </w:t>
      </w:r>
      <w:proofErr w:type="spellStart"/>
      <w:r w:rsidRPr="00692B48">
        <w:rPr>
          <w:sz w:val="22"/>
          <w:szCs w:val="22"/>
        </w:rPr>
        <w:t>színháztermi</w:t>
      </w:r>
      <w:proofErr w:type="spellEnd"/>
      <w:r w:rsidRPr="00692B48">
        <w:rPr>
          <w:sz w:val="22"/>
          <w:szCs w:val="22"/>
        </w:rPr>
        <w:t xml:space="preserve"> színpad teljes felújítása és egy un. LED fal, került tervezésre, mely 2021. év február hónapban került beépítésre. </w:t>
      </w:r>
      <w:r>
        <w:rPr>
          <w:sz w:val="22"/>
          <w:szCs w:val="22"/>
        </w:rPr>
        <w:t xml:space="preserve">A közművelődés érdekeltségnövelő pályázaton nyert támogatás felhasználását a 2021. évi költségvetés tartalmazza. </w:t>
      </w:r>
    </w:p>
    <w:p w14:paraId="56EF73E4" w14:textId="77777777" w:rsidR="00250ED3" w:rsidRPr="00692B48" w:rsidRDefault="00250ED3" w:rsidP="00250ED3">
      <w:pPr>
        <w:contextualSpacing/>
        <w:jc w:val="both"/>
        <w:rPr>
          <w:color w:val="000000"/>
          <w:sz w:val="22"/>
          <w:szCs w:val="22"/>
          <w:u w:val="single"/>
        </w:rPr>
      </w:pPr>
      <w:r w:rsidRPr="00692B48">
        <w:rPr>
          <w:color w:val="000000"/>
          <w:sz w:val="22"/>
          <w:szCs w:val="22"/>
          <w:u w:val="single"/>
        </w:rPr>
        <w:t>Felhalmozási kiadások:</w:t>
      </w:r>
    </w:p>
    <w:p w14:paraId="3B3DD5DC" w14:textId="77777777" w:rsidR="00250ED3" w:rsidRPr="00692B48" w:rsidRDefault="00250ED3" w:rsidP="00250ED3">
      <w:pPr>
        <w:contextualSpacing/>
        <w:jc w:val="both"/>
        <w:rPr>
          <w:color w:val="000000"/>
          <w:sz w:val="22"/>
          <w:szCs w:val="22"/>
        </w:rPr>
      </w:pPr>
      <w:r w:rsidRPr="00692B48">
        <w:rPr>
          <w:color w:val="000000"/>
          <w:sz w:val="22"/>
          <w:szCs w:val="22"/>
        </w:rPr>
        <w:t xml:space="preserve">könyvtári </w:t>
      </w:r>
      <w:proofErr w:type="spellStart"/>
      <w:r w:rsidRPr="00692B48">
        <w:rPr>
          <w:color w:val="000000"/>
          <w:sz w:val="22"/>
          <w:szCs w:val="22"/>
        </w:rPr>
        <w:t>spirálozógép</w:t>
      </w:r>
      <w:proofErr w:type="spellEnd"/>
      <w:r w:rsidRPr="00692B48">
        <w:rPr>
          <w:color w:val="000000"/>
          <w:sz w:val="22"/>
          <w:szCs w:val="22"/>
        </w:rPr>
        <w:tab/>
      </w:r>
      <w:proofErr w:type="gramStart"/>
      <w:r w:rsidRPr="00692B48">
        <w:rPr>
          <w:color w:val="000000"/>
          <w:sz w:val="22"/>
          <w:szCs w:val="22"/>
        </w:rPr>
        <w:tab/>
        <w:t xml:space="preserve">  49.480</w:t>
      </w:r>
      <w:proofErr w:type="gramEnd"/>
      <w:r w:rsidR="001B7682">
        <w:rPr>
          <w:color w:val="000000"/>
          <w:sz w:val="22"/>
          <w:szCs w:val="22"/>
        </w:rPr>
        <w:t xml:space="preserve">  </w:t>
      </w:r>
      <w:r w:rsidRPr="00692B48">
        <w:rPr>
          <w:color w:val="000000"/>
          <w:sz w:val="22"/>
          <w:szCs w:val="22"/>
        </w:rPr>
        <w:t>Ft</w:t>
      </w:r>
    </w:p>
    <w:p w14:paraId="4E421F34" w14:textId="77777777" w:rsidR="00250ED3" w:rsidRPr="00692B48" w:rsidRDefault="00250ED3" w:rsidP="00250ED3">
      <w:pPr>
        <w:contextualSpacing/>
        <w:jc w:val="both"/>
        <w:rPr>
          <w:color w:val="000000"/>
          <w:sz w:val="22"/>
          <w:szCs w:val="22"/>
          <w:u w:val="single"/>
        </w:rPr>
      </w:pPr>
      <w:r w:rsidRPr="00692B48">
        <w:rPr>
          <w:color w:val="000000"/>
          <w:sz w:val="22"/>
          <w:szCs w:val="22"/>
          <w:u w:val="single"/>
        </w:rPr>
        <w:t>Webkamera</w:t>
      </w:r>
      <w:r w:rsidRPr="00692B48">
        <w:rPr>
          <w:color w:val="000000"/>
          <w:sz w:val="22"/>
          <w:szCs w:val="22"/>
          <w:u w:val="single"/>
        </w:rPr>
        <w:tab/>
      </w:r>
      <w:r w:rsidRPr="00692B48">
        <w:rPr>
          <w:color w:val="000000"/>
          <w:sz w:val="22"/>
          <w:szCs w:val="22"/>
          <w:u w:val="single"/>
        </w:rPr>
        <w:tab/>
        <w:t xml:space="preserve"> </w:t>
      </w:r>
      <w:proofErr w:type="gramStart"/>
      <w:r w:rsidRPr="00692B48">
        <w:rPr>
          <w:color w:val="000000"/>
          <w:sz w:val="22"/>
          <w:szCs w:val="22"/>
          <w:u w:val="single"/>
        </w:rPr>
        <w:tab/>
        <w:t xml:space="preserve">  29.915</w:t>
      </w:r>
      <w:proofErr w:type="gramEnd"/>
      <w:r w:rsidR="001B7682">
        <w:rPr>
          <w:color w:val="000000"/>
          <w:sz w:val="22"/>
          <w:szCs w:val="22"/>
          <w:u w:val="single"/>
        </w:rPr>
        <w:t xml:space="preserve">  </w:t>
      </w:r>
      <w:r w:rsidRPr="00692B48">
        <w:rPr>
          <w:color w:val="000000"/>
          <w:sz w:val="22"/>
          <w:szCs w:val="22"/>
          <w:u w:val="single"/>
        </w:rPr>
        <w:t>Ft</w:t>
      </w:r>
    </w:p>
    <w:p w14:paraId="59B3F644" w14:textId="77777777" w:rsidR="00250ED3" w:rsidRPr="00692B48" w:rsidRDefault="00250ED3" w:rsidP="00250ED3">
      <w:pPr>
        <w:contextualSpacing/>
        <w:jc w:val="both"/>
        <w:rPr>
          <w:color w:val="000000"/>
          <w:sz w:val="22"/>
          <w:szCs w:val="22"/>
        </w:rPr>
      </w:pPr>
      <w:r w:rsidRPr="00692B48">
        <w:rPr>
          <w:color w:val="000000"/>
          <w:sz w:val="22"/>
          <w:szCs w:val="22"/>
        </w:rPr>
        <w:t>ÖSSZESEN:</w:t>
      </w:r>
      <w:r w:rsidRPr="00692B48">
        <w:rPr>
          <w:color w:val="000000"/>
          <w:sz w:val="22"/>
          <w:szCs w:val="22"/>
        </w:rPr>
        <w:tab/>
      </w:r>
      <w:r w:rsidRPr="00692B48">
        <w:rPr>
          <w:color w:val="000000"/>
          <w:sz w:val="22"/>
          <w:szCs w:val="22"/>
        </w:rPr>
        <w:tab/>
        <w:t xml:space="preserve">               </w:t>
      </w:r>
      <w:proofErr w:type="gramStart"/>
      <w:r w:rsidRPr="00692B48">
        <w:rPr>
          <w:color w:val="000000"/>
          <w:sz w:val="22"/>
          <w:szCs w:val="22"/>
        </w:rPr>
        <w:t>79.395</w:t>
      </w:r>
      <w:r w:rsidR="001B7682">
        <w:rPr>
          <w:color w:val="000000"/>
          <w:sz w:val="22"/>
          <w:szCs w:val="22"/>
        </w:rPr>
        <w:t xml:space="preserve">  </w:t>
      </w:r>
      <w:r w:rsidRPr="00692B48">
        <w:rPr>
          <w:color w:val="000000"/>
          <w:sz w:val="22"/>
          <w:szCs w:val="22"/>
        </w:rPr>
        <w:t>Ft</w:t>
      </w:r>
      <w:proofErr w:type="gramEnd"/>
    </w:p>
    <w:p w14:paraId="67FB6984" w14:textId="3238A378" w:rsidR="00250ED3" w:rsidRDefault="00250ED3" w:rsidP="00250ED3">
      <w:pPr>
        <w:contextualSpacing/>
        <w:jc w:val="both"/>
        <w:rPr>
          <w:color w:val="000000"/>
          <w:sz w:val="22"/>
          <w:szCs w:val="22"/>
        </w:rPr>
      </w:pPr>
      <w:r w:rsidRPr="00692B48">
        <w:rPr>
          <w:color w:val="000000"/>
          <w:sz w:val="22"/>
          <w:szCs w:val="22"/>
        </w:rPr>
        <w:t xml:space="preserve">Előző évi maradvány </w:t>
      </w:r>
      <w:r w:rsidR="00CF295C" w:rsidRPr="00692B48">
        <w:rPr>
          <w:color w:val="000000"/>
          <w:sz w:val="22"/>
          <w:szCs w:val="22"/>
        </w:rPr>
        <w:t>2.799.072</w:t>
      </w:r>
      <w:r w:rsidR="00CF295C">
        <w:rPr>
          <w:color w:val="000000"/>
          <w:sz w:val="22"/>
          <w:szCs w:val="22"/>
        </w:rPr>
        <w:t xml:space="preserve"> Ft.</w:t>
      </w:r>
    </w:p>
    <w:p w14:paraId="330BCC7D" w14:textId="4E933299" w:rsidR="00250ED3" w:rsidRPr="00692B48" w:rsidRDefault="00250ED3" w:rsidP="00250ED3">
      <w:pPr>
        <w:contextualSpacing/>
        <w:jc w:val="both"/>
        <w:rPr>
          <w:sz w:val="22"/>
          <w:szCs w:val="22"/>
        </w:rPr>
      </w:pPr>
      <w:r w:rsidRPr="00692B48">
        <w:rPr>
          <w:sz w:val="22"/>
          <w:szCs w:val="22"/>
        </w:rPr>
        <w:t xml:space="preserve">2020. év végén </w:t>
      </w:r>
      <w:r w:rsidRPr="00692B48">
        <w:rPr>
          <w:color w:val="000000"/>
          <w:sz w:val="22"/>
          <w:szCs w:val="22"/>
        </w:rPr>
        <w:t>2.660.094</w:t>
      </w:r>
      <w:r w:rsidR="001B7682">
        <w:rPr>
          <w:sz w:val="22"/>
          <w:szCs w:val="22"/>
        </w:rPr>
        <w:t xml:space="preserve">  </w:t>
      </w:r>
      <w:r w:rsidRPr="00692B48">
        <w:rPr>
          <w:sz w:val="22"/>
          <w:szCs w:val="22"/>
        </w:rPr>
        <w:t xml:space="preserve"> Ft kötelezettséggel terhelt maradványa keletkezett az intézménynek, mely összegből </w:t>
      </w:r>
      <w:r w:rsidR="00CF295C" w:rsidRPr="00692B48">
        <w:rPr>
          <w:sz w:val="22"/>
          <w:szCs w:val="22"/>
        </w:rPr>
        <w:t>351.396</w:t>
      </w:r>
      <w:r w:rsidR="00CF295C">
        <w:rPr>
          <w:sz w:val="22"/>
          <w:szCs w:val="22"/>
        </w:rPr>
        <w:t xml:space="preserve"> Ft</w:t>
      </w:r>
      <w:r w:rsidRPr="00692B48">
        <w:rPr>
          <w:sz w:val="22"/>
          <w:szCs w:val="22"/>
        </w:rPr>
        <w:t xml:space="preserve"> a közfoglalkoztatottakra kapott bérelőlegből, </w:t>
      </w:r>
      <w:r w:rsidR="00CF295C" w:rsidRPr="00692B48">
        <w:rPr>
          <w:sz w:val="22"/>
          <w:szCs w:val="22"/>
        </w:rPr>
        <w:t>1.223.000</w:t>
      </w:r>
      <w:r w:rsidR="00CF295C">
        <w:rPr>
          <w:sz w:val="22"/>
          <w:szCs w:val="22"/>
        </w:rPr>
        <w:t xml:space="preserve"> Ft</w:t>
      </w:r>
      <w:r w:rsidRPr="00692B48">
        <w:rPr>
          <w:sz w:val="22"/>
          <w:szCs w:val="22"/>
        </w:rPr>
        <w:t xml:space="preserve"> pedig két táncház megvalósítását tartalmazza. A fennmaradó szabad maradvány a 2021</w:t>
      </w:r>
      <w:r>
        <w:rPr>
          <w:sz w:val="22"/>
          <w:szCs w:val="22"/>
        </w:rPr>
        <w:t>.</w:t>
      </w:r>
      <w:r w:rsidRPr="00692B48">
        <w:rPr>
          <w:sz w:val="22"/>
          <w:szCs w:val="22"/>
        </w:rPr>
        <w:t xml:space="preserve"> évi költségvetési kiadások nyitó pénzkészletét képezi.</w:t>
      </w:r>
    </w:p>
    <w:p w14:paraId="66B0A196" w14:textId="77777777" w:rsidR="00250ED3" w:rsidRPr="00692B48" w:rsidRDefault="00250ED3" w:rsidP="00250ED3">
      <w:pPr>
        <w:contextualSpacing/>
        <w:jc w:val="both"/>
        <w:rPr>
          <w:bCs/>
          <w:sz w:val="22"/>
          <w:szCs w:val="22"/>
        </w:rPr>
      </w:pPr>
    </w:p>
    <w:p w14:paraId="2133F0F4" w14:textId="77777777" w:rsidR="008D053F" w:rsidRDefault="008D053F" w:rsidP="008D053F">
      <w:pPr>
        <w:jc w:val="both"/>
        <w:rPr>
          <w:b/>
          <w:sz w:val="22"/>
          <w:szCs w:val="22"/>
        </w:rPr>
      </w:pPr>
      <w:r w:rsidRPr="00262F5B">
        <w:rPr>
          <w:b/>
          <w:sz w:val="22"/>
          <w:szCs w:val="22"/>
        </w:rPr>
        <w:t xml:space="preserve">Polgári Szociális Központ </w:t>
      </w:r>
    </w:p>
    <w:p w14:paraId="60AF84F9" w14:textId="77777777" w:rsidR="00CE08D4" w:rsidRPr="00262F5B" w:rsidRDefault="00CE08D4" w:rsidP="008D053F">
      <w:pPr>
        <w:jc w:val="both"/>
        <w:rPr>
          <w:b/>
          <w:sz w:val="22"/>
          <w:szCs w:val="22"/>
        </w:rPr>
      </w:pPr>
    </w:p>
    <w:p w14:paraId="488D3779" w14:textId="64BE5696" w:rsidR="006619BB" w:rsidRPr="00820FF4" w:rsidRDefault="008D053F" w:rsidP="00820FF4">
      <w:pPr>
        <w:jc w:val="both"/>
        <w:rPr>
          <w:color w:val="000000"/>
          <w:sz w:val="22"/>
          <w:szCs w:val="22"/>
        </w:rPr>
      </w:pPr>
      <w:r w:rsidRPr="002A4E39">
        <w:rPr>
          <w:color w:val="000000"/>
          <w:sz w:val="22"/>
          <w:szCs w:val="22"/>
        </w:rPr>
        <w:t xml:space="preserve">Az </w:t>
      </w:r>
      <w:r>
        <w:rPr>
          <w:color w:val="000000"/>
          <w:sz w:val="22"/>
          <w:szCs w:val="22"/>
        </w:rPr>
        <w:t xml:space="preserve">intézmény </w:t>
      </w:r>
      <w:r w:rsidRPr="002A4E39">
        <w:rPr>
          <w:color w:val="000000"/>
          <w:sz w:val="22"/>
          <w:szCs w:val="22"/>
        </w:rPr>
        <w:t>mérlegében szereplő eszközök és források állománya 20</w:t>
      </w:r>
      <w:r w:rsidR="00D27FF1">
        <w:rPr>
          <w:color w:val="000000"/>
          <w:sz w:val="22"/>
          <w:szCs w:val="22"/>
        </w:rPr>
        <w:t>19</w:t>
      </w:r>
      <w:r w:rsidRPr="002A4E39">
        <w:rPr>
          <w:color w:val="000000"/>
          <w:sz w:val="22"/>
          <w:szCs w:val="22"/>
        </w:rPr>
        <w:t xml:space="preserve">. december 31.-én </w:t>
      </w:r>
      <w:r>
        <w:rPr>
          <w:color w:val="000000"/>
          <w:sz w:val="22"/>
          <w:szCs w:val="22"/>
        </w:rPr>
        <w:t>2</w:t>
      </w:r>
      <w:r w:rsidR="00820FF4">
        <w:rPr>
          <w:color w:val="000000"/>
          <w:sz w:val="22"/>
          <w:szCs w:val="22"/>
        </w:rPr>
        <w:t>1.158.916</w:t>
      </w:r>
      <w:r w:rsidR="001B7682">
        <w:rPr>
          <w:color w:val="000000"/>
          <w:sz w:val="22"/>
          <w:szCs w:val="22"/>
        </w:rPr>
        <w:t xml:space="preserve">  </w:t>
      </w:r>
      <w:r w:rsidRPr="002A4E39">
        <w:rPr>
          <w:color w:val="000000"/>
          <w:sz w:val="22"/>
          <w:szCs w:val="22"/>
        </w:rPr>
        <w:t xml:space="preserve"> Ft volt</w:t>
      </w:r>
      <w:r w:rsidR="00D27FF1">
        <w:rPr>
          <w:color w:val="000000"/>
          <w:sz w:val="22"/>
          <w:szCs w:val="22"/>
        </w:rPr>
        <w:t>, 2020. december 31.-én 20.891.820</w:t>
      </w:r>
      <w:r w:rsidR="001B7682">
        <w:rPr>
          <w:color w:val="000000"/>
          <w:sz w:val="22"/>
          <w:szCs w:val="22"/>
        </w:rPr>
        <w:t xml:space="preserve">  </w:t>
      </w:r>
      <w:r w:rsidR="00D27FF1">
        <w:rPr>
          <w:color w:val="000000"/>
          <w:sz w:val="22"/>
          <w:szCs w:val="22"/>
        </w:rPr>
        <w:t xml:space="preserve"> Ft-ra csökkent.</w:t>
      </w:r>
      <w:r>
        <w:rPr>
          <w:color w:val="000000"/>
          <w:sz w:val="22"/>
          <w:szCs w:val="22"/>
        </w:rPr>
        <w:t xml:space="preserve"> </w:t>
      </w:r>
      <w:r w:rsidR="00820FF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Az eszközökön belül a követelések állománya </w:t>
      </w:r>
      <w:r w:rsidR="00D27FF1">
        <w:rPr>
          <w:color w:val="000000"/>
          <w:sz w:val="22"/>
          <w:szCs w:val="22"/>
        </w:rPr>
        <w:t>692.294</w:t>
      </w:r>
      <w:r w:rsidR="001B7682"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 xml:space="preserve"> Ft-r</w:t>
      </w:r>
      <w:r w:rsidR="00820FF4">
        <w:rPr>
          <w:color w:val="000000"/>
          <w:sz w:val="22"/>
          <w:szCs w:val="22"/>
        </w:rPr>
        <w:t xml:space="preserve">ól </w:t>
      </w:r>
      <w:r w:rsidR="00D27FF1">
        <w:rPr>
          <w:color w:val="000000"/>
          <w:sz w:val="22"/>
          <w:szCs w:val="22"/>
        </w:rPr>
        <w:t>1.123.646</w:t>
      </w:r>
      <w:r w:rsidR="001B7682">
        <w:rPr>
          <w:color w:val="000000"/>
          <w:sz w:val="22"/>
          <w:szCs w:val="22"/>
        </w:rPr>
        <w:t xml:space="preserve">  </w:t>
      </w:r>
      <w:r w:rsidR="00D27FF1">
        <w:rPr>
          <w:color w:val="000000"/>
          <w:sz w:val="22"/>
          <w:szCs w:val="22"/>
        </w:rPr>
        <w:t xml:space="preserve"> </w:t>
      </w:r>
      <w:r w:rsidR="00820FF4">
        <w:rPr>
          <w:color w:val="000000"/>
          <w:sz w:val="22"/>
          <w:szCs w:val="22"/>
        </w:rPr>
        <w:t>Ft-ra</w:t>
      </w:r>
      <w:r>
        <w:rPr>
          <w:color w:val="000000"/>
          <w:sz w:val="22"/>
          <w:szCs w:val="22"/>
        </w:rPr>
        <w:t xml:space="preserve"> változott</w:t>
      </w:r>
      <w:r w:rsidR="00820FF4">
        <w:rPr>
          <w:color w:val="000000"/>
          <w:sz w:val="22"/>
          <w:szCs w:val="22"/>
        </w:rPr>
        <w:t xml:space="preserve">. </w:t>
      </w:r>
      <w:r w:rsidRPr="002A4E39">
        <w:rPr>
          <w:color w:val="000000"/>
          <w:sz w:val="22"/>
          <w:szCs w:val="22"/>
        </w:rPr>
        <w:t>A pénzeszközök állománya 20</w:t>
      </w:r>
      <w:r w:rsidR="00D27FF1">
        <w:rPr>
          <w:color w:val="000000"/>
          <w:sz w:val="22"/>
          <w:szCs w:val="22"/>
        </w:rPr>
        <w:t>19</w:t>
      </w:r>
      <w:r w:rsidRPr="002A4E39">
        <w:rPr>
          <w:color w:val="000000"/>
          <w:sz w:val="22"/>
          <w:szCs w:val="22"/>
        </w:rPr>
        <w:t>. december 31.-</w:t>
      </w:r>
      <w:r w:rsidR="00D27FF1">
        <w:rPr>
          <w:color w:val="000000"/>
          <w:sz w:val="22"/>
          <w:szCs w:val="22"/>
        </w:rPr>
        <w:t>én</w:t>
      </w:r>
      <w:r w:rsidRPr="002A4E39">
        <w:rPr>
          <w:color w:val="000000"/>
          <w:sz w:val="22"/>
          <w:szCs w:val="22"/>
        </w:rPr>
        <w:t xml:space="preserve"> </w:t>
      </w:r>
      <w:r w:rsidR="00D1572C">
        <w:rPr>
          <w:color w:val="000000"/>
          <w:sz w:val="22"/>
          <w:szCs w:val="22"/>
        </w:rPr>
        <w:t>3.116.521 Ft</w:t>
      </w:r>
      <w:r w:rsidR="00D27FF1">
        <w:rPr>
          <w:color w:val="000000"/>
          <w:sz w:val="22"/>
          <w:szCs w:val="22"/>
        </w:rPr>
        <w:t>-ról 2020. december 31.-én 3.650.838</w:t>
      </w:r>
      <w:r w:rsidR="001B7682">
        <w:rPr>
          <w:color w:val="000000"/>
          <w:sz w:val="22"/>
          <w:szCs w:val="22"/>
        </w:rPr>
        <w:t xml:space="preserve">  </w:t>
      </w:r>
      <w:r w:rsidR="00D27FF1">
        <w:rPr>
          <w:color w:val="000000"/>
          <w:sz w:val="22"/>
          <w:szCs w:val="22"/>
        </w:rPr>
        <w:t xml:space="preserve"> Ft-ra növekedett</w:t>
      </w:r>
      <w:r w:rsidR="00820FF4">
        <w:rPr>
          <w:color w:val="000000"/>
          <w:sz w:val="22"/>
          <w:szCs w:val="22"/>
        </w:rPr>
        <w:t xml:space="preserve">.  </w:t>
      </w:r>
      <w:r w:rsidR="00D27FF1">
        <w:rPr>
          <w:bCs/>
          <w:sz w:val="22"/>
          <w:szCs w:val="22"/>
          <w:lang w:eastAsia="ar-SA"/>
        </w:rPr>
        <w:t xml:space="preserve"> </w:t>
      </w:r>
    </w:p>
    <w:p w14:paraId="6C95EFD3" w14:textId="77777777" w:rsidR="00687A3D" w:rsidRDefault="00687A3D" w:rsidP="00687A3D">
      <w:pPr>
        <w:jc w:val="both"/>
        <w:rPr>
          <w:sz w:val="22"/>
          <w:szCs w:val="22"/>
        </w:rPr>
      </w:pPr>
      <w:r>
        <w:rPr>
          <w:sz w:val="22"/>
          <w:szCs w:val="22"/>
        </w:rPr>
        <w:t>A takarékos gazdálkodás eredményeként lehetősége nyílt az intézménynek, hogy a munkavégzéshez nélkülözhetetlen alábbi eszközöket a költségvetés terhére beszerezze. A beruházásnál a teljesítés 385.780</w:t>
      </w:r>
      <w:r w:rsidR="001B7682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Ft összeget mutat, mely magában foglalja 2 db monitor vásárlását, 2 db digitális lázmérő, valamint 5 db kerékpár beszerzését. </w:t>
      </w:r>
    </w:p>
    <w:p w14:paraId="4F1E6DCF" w14:textId="77777777" w:rsidR="00687A3D" w:rsidRDefault="00687A3D" w:rsidP="00687A3D">
      <w:pPr>
        <w:jc w:val="both"/>
        <w:rPr>
          <w:sz w:val="22"/>
          <w:szCs w:val="22"/>
        </w:rPr>
      </w:pPr>
      <w:r>
        <w:rPr>
          <w:sz w:val="22"/>
          <w:szCs w:val="22"/>
        </w:rPr>
        <w:t>A szabad pénzmaradvány 2020. évben 4.185.521</w:t>
      </w:r>
      <w:r w:rsidR="001B7682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Ft.</w:t>
      </w:r>
    </w:p>
    <w:p w14:paraId="5D67774A" w14:textId="726F3F3A" w:rsidR="008D053F" w:rsidRDefault="008D053F" w:rsidP="008D053F">
      <w:pPr>
        <w:jc w:val="both"/>
        <w:rPr>
          <w:color w:val="000000"/>
          <w:sz w:val="22"/>
          <w:szCs w:val="22"/>
        </w:rPr>
      </w:pPr>
    </w:p>
    <w:p w14:paraId="30D97674" w14:textId="21A206A6" w:rsidR="0048693C" w:rsidRDefault="0048693C" w:rsidP="008D053F">
      <w:pPr>
        <w:jc w:val="both"/>
        <w:rPr>
          <w:color w:val="000000"/>
          <w:sz w:val="22"/>
          <w:szCs w:val="22"/>
        </w:rPr>
      </w:pPr>
    </w:p>
    <w:p w14:paraId="5FE5E538" w14:textId="77777777" w:rsidR="0048693C" w:rsidRPr="002A4E39" w:rsidRDefault="0048693C" w:rsidP="008D053F">
      <w:pPr>
        <w:jc w:val="both"/>
        <w:rPr>
          <w:color w:val="000000"/>
          <w:sz w:val="22"/>
          <w:szCs w:val="22"/>
        </w:rPr>
      </w:pPr>
    </w:p>
    <w:p w14:paraId="65582A99" w14:textId="77777777" w:rsidR="008D053F" w:rsidRPr="002A4E39" w:rsidRDefault="008D053F" w:rsidP="008D053F">
      <w:pPr>
        <w:jc w:val="both"/>
        <w:rPr>
          <w:b/>
          <w:color w:val="000000"/>
          <w:sz w:val="22"/>
          <w:szCs w:val="22"/>
        </w:rPr>
      </w:pPr>
      <w:r w:rsidRPr="002A4E39">
        <w:rPr>
          <w:b/>
          <w:color w:val="000000"/>
          <w:sz w:val="22"/>
          <w:szCs w:val="22"/>
        </w:rPr>
        <w:lastRenderedPageBreak/>
        <w:t xml:space="preserve">Polgármesteri Hivatal </w:t>
      </w:r>
    </w:p>
    <w:p w14:paraId="02670BD3" w14:textId="77777777" w:rsidR="008D053F" w:rsidRDefault="008D053F" w:rsidP="008D053F">
      <w:pPr>
        <w:jc w:val="both"/>
        <w:rPr>
          <w:color w:val="000000"/>
          <w:sz w:val="22"/>
          <w:szCs w:val="22"/>
        </w:rPr>
      </w:pPr>
      <w:r w:rsidRPr="002A4E39">
        <w:rPr>
          <w:color w:val="000000"/>
          <w:sz w:val="22"/>
          <w:szCs w:val="22"/>
        </w:rPr>
        <w:t xml:space="preserve">A Polgármesteri Hivatalnál nyilvántartott </w:t>
      </w:r>
      <w:r w:rsidR="00423265">
        <w:rPr>
          <w:color w:val="000000"/>
          <w:sz w:val="22"/>
          <w:szCs w:val="22"/>
        </w:rPr>
        <w:t>eszközök és források</w:t>
      </w:r>
      <w:r w:rsidRPr="002A4E39">
        <w:rPr>
          <w:color w:val="000000"/>
          <w:sz w:val="22"/>
          <w:szCs w:val="22"/>
        </w:rPr>
        <w:t xml:space="preserve"> </w:t>
      </w:r>
      <w:r w:rsidR="00423265">
        <w:rPr>
          <w:color w:val="000000"/>
          <w:sz w:val="22"/>
          <w:szCs w:val="22"/>
        </w:rPr>
        <w:t>állománya</w:t>
      </w:r>
      <w:r w:rsidRPr="002A4E39">
        <w:rPr>
          <w:color w:val="000000"/>
          <w:sz w:val="22"/>
          <w:szCs w:val="22"/>
        </w:rPr>
        <w:t xml:space="preserve"> 201</w:t>
      </w:r>
      <w:r w:rsidR="00DC5D30">
        <w:rPr>
          <w:color w:val="000000"/>
          <w:sz w:val="22"/>
          <w:szCs w:val="22"/>
        </w:rPr>
        <w:t>9</w:t>
      </w:r>
      <w:r w:rsidRPr="002A4E39">
        <w:rPr>
          <w:color w:val="000000"/>
          <w:sz w:val="22"/>
          <w:szCs w:val="22"/>
        </w:rPr>
        <w:t xml:space="preserve">.12.31.-én </w:t>
      </w:r>
      <w:r w:rsidR="00DC5D30">
        <w:rPr>
          <w:color w:val="000000"/>
          <w:sz w:val="22"/>
          <w:szCs w:val="22"/>
        </w:rPr>
        <w:t>213.623.917</w:t>
      </w:r>
      <w:r w:rsidRPr="002A4E39">
        <w:rPr>
          <w:color w:val="000000"/>
          <w:sz w:val="22"/>
          <w:szCs w:val="22"/>
        </w:rPr>
        <w:t>Ft volt, 20</w:t>
      </w:r>
      <w:r w:rsidR="00DC5D30">
        <w:rPr>
          <w:color w:val="000000"/>
          <w:sz w:val="22"/>
          <w:szCs w:val="22"/>
        </w:rPr>
        <w:t>20</w:t>
      </w:r>
      <w:r w:rsidRPr="002A4E39">
        <w:rPr>
          <w:color w:val="000000"/>
          <w:sz w:val="22"/>
          <w:szCs w:val="22"/>
        </w:rPr>
        <w:t>. december 31.-én</w:t>
      </w:r>
      <w:r w:rsidR="00DC5D30">
        <w:rPr>
          <w:color w:val="000000"/>
          <w:sz w:val="22"/>
          <w:szCs w:val="22"/>
        </w:rPr>
        <w:t xml:space="preserve"> 207.145.503</w:t>
      </w:r>
      <w:r w:rsidRPr="002A4E39">
        <w:rPr>
          <w:color w:val="000000"/>
          <w:sz w:val="22"/>
          <w:szCs w:val="22"/>
        </w:rPr>
        <w:t>Ft-ra csökkent. A tárgyi eszközökre elszámolt értékcsökkenés következtében</w:t>
      </w:r>
      <w:r w:rsidR="00423265">
        <w:rPr>
          <w:color w:val="000000"/>
          <w:sz w:val="22"/>
          <w:szCs w:val="22"/>
        </w:rPr>
        <w:t xml:space="preserve"> azok </w:t>
      </w:r>
      <w:r w:rsidRPr="002A4E39">
        <w:rPr>
          <w:color w:val="000000"/>
          <w:sz w:val="22"/>
          <w:szCs w:val="22"/>
        </w:rPr>
        <w:t xml:space="preserve">állománya </w:t>
      </w:r>
      <w:r w:rsidR="00DC5D30">
        <w:rPr>
          <w:color w:val="000000"/>
          <w:sz w:val="22"/>
          <w:szCs w:val="22"/>
        </w:rPr>
        <w:t>206.234.097</w:t>
      </w:r>
      <w:r w:rsidR="00DC5D30" w:rsidRPr="002A4E39">
        <w:rPr>
          <w:color w:val="000000"/>
          <w:sz w:val="22"/>
          <w:szCs w:val="22"/>
        </w:rPr>
        <w:t xml:space="preserve"> </w:t>
      </w:r>
      <w:r w:rsidRPr="002A4E39">
        <w:rPr>
          <w:color w:val="000000"/>
          <w:sz w:val="22"/>
          <w:szCs w:val="22"/>
        </w:rPr>
        <w:t>Ft-ról,</w:t>
      </w:r>
      <w:r w:rsidR="00DC5D30">
        <w:rPr>
          <w:color w:val="000000"/>
          <w:sz w:val="22"/>
          <w:szCs w:val="22"/>
        </w:rPr>
        <w:t xml:space="preserve"> 199.951.898</w:t>
      </w:r>
      <w:r>
        <w:rPr>
          <w:color w:val="000000"/>
          <w:sz w:val="22"/>
          <w:szCs w:val="22"/>
        </w:rPr>
        <w:t xml:space="preserve"> </w:t>
      </w:r>
      <w:r w:rsidRPr="002A4E39">
        <w:rPr>
          <w:color w:val="000000"/>
          <w:sz w:val="22"/>
          <w:szCs w:val="22"/>
        </w:rPr>
        <w:t>Ft-ra változott</w:t>
      </w:r>
      <w:r w:rsidR="00423265">
        <w:rPr>
          <w:color w:val="000000"/>
          <w:sz w:val="22"/>
          <w:szCs w:val="22"/>
        </w:rPr>
        <w:t xml:space="preserve">. </w:t>
      </w:r>
    </w:p>
    <w:p w14:paraId="463D41C5" w14:textId="77777777" w:rsidR="00DC5D30" w:rsidRPr="002A4E39" w:rsidRDefault="00DC5D30" w:rsidP="00DC5D30">
      <w:pPr>
        <w:jc w:val="both"/>
        <w:rPr>
          <w:b/>
          <w:color w:val="000000"/>
          <w:sz w:val="22"/>
          <w:szCs w:val="22"/>
        </w:rPr>
      </w:pPr>
      <w:bookmarkStart w:id="3" w:name="_Hlk514845106"/>
      <w:r w:rsidRPr="002A4E39">
        <w:rPr>
          <w:color w:val="000000"/>
          <w:sz w:val="22"/>
          <w:szCs w:val="22"/>
        </w:rPr>
        <w:t xml:space="preserve">A pénzeszközök soron </w:t>
      </w:r>
      <w:r>
        <w:rPr>
          <w:color w:val="000000"/>
          <w:sz w:val="22"/>
          <w:szCs w:val="22"/>
        </w:rPr>
        <w:t>4.610.834Ft</w:t>
      </w:r>
      <w:r w:rsidRPr="002A4E39">
        <w:rPr>
          <w:color w:val="000000"/>
          <w:sz w:val="22"/>
          <w:szCs w:val="22"/>
        </w:rPr>
        <w:t>-ról,</w:t>
      </w:r>
      <w:r>
        <w:rPr>
          <w:color w:val="000000"/>
          <w:sz w:val="22"/>
          <w:szCs w:val="22"/>
        </w:rPr>
        <w:t xml:space="preserve"> 1.307.591 </w:t>
      </w:r>
      <w:r w:rsidRPr="002A4E39">
        <w:rPr>
          <w:color w:val="000000"/>
          <w:sz w:val="22"/>
          <w:szCs w:val="22"/>
        </w:rPr>
        <w:t>Ft-ra változott az év végi pénzkészle</w:t>
      </w:r>
      <w:r>
        <w:rPr>
          <w:color w:val="000000"/>
          <w:sz w:val="22"/>
          <w:szCs w:val="22"/>
        </w:rPr>
        <w:t xml:space="preserve">t. </w:t>
      </w:r>
      <w:r w:rsidRPr="002A4E39">
        <w:rPr>
          <w:color w:val="000000"/>
          <w:sz w:val="22"/>
          <w:szCs w:val="22"/>
        </w:rPr>
        <w:t xml:space="preserve"> </w:t>
      </w:r>
    </w:p>
    <w:p w14:paraId="3710EB2D" w14:textId="77777777" w:rsidR="00DC5D30" w:rsidRDefault="00DC5D30" w:rsidP="00DC5D30">
      <w:pPr>
        <w:jc w:val="both"/>
        <w:rPr>
          <w:color w:val="000000"/>
          <w:sz w:val="22"/>
          <w:szCs w:val="22"/>
        </w:rPr>
      </w:pPr>
      <w:r w:rsidRPr="002A4E39">
        <w:rPr>
          <w:color w:val="000000"/>
          <w:sz w:val="22"/>
          <w:szCs w:val="22"/>
        </w:rPr>
        <w:t xml:space="preserve">A vevői és egyéb követelések állománya </w:t>
      </w:r>
      <w:r>
        <w:rPr>
          <w:color w:val="000000"/>
          <w:sz w:val="22"/>
          <w:szCs w:val="22"/>
        </w:rPr>
        <w:t xml:space="preserve">5.979.477 </w:t>
      </w:r>
      <w:r w:rsidRPr="002A4E39">
        <w:rPr>
          <w:color w:val="000000"/>
          <w:sz w:val="22"/>
          <w:szCs w:val="22"/>
        </w:rPr>
        <w:t>Ft</w:t>
      </w:r>
      <w:r>
        <w:rPr>
          <w:color w:val="000000"/>
          <w:sz w:val="22"/>
          <w:szCs w:val="22"/>
        </w:rPr>
        <w:t>-ról Ft-ra 4.007.590 Ft-ra csökkent</w:t>
      </w:r>
      <w:r w:rsidRPr="002A4E39">
        <w:rPr>
          <w:color w:val="000000"/>
          <w:sz w:val="22"/>
          <w:szCs w:val="22"/>
        </w:rPr>
        <w:t>, a kötelezettségek összeg</w:t>
      </w:r>
      <w:r>
        <w:rPr>
          <w:color w:val="000000"/>
          <w:sz w:val="22"/>
          <w:szCs w:val="22"/>
        </w:rPr>
        <w:t xml:space="preserve">e 31.780 </w:t>
      </w:r>
      <w:r w:rsidRPr="002A4E39">
        <w:rPr>
          <w:color w:val="000000"/>
          <w:sz w:val="22"/>
          <w:szCs w:val="22"/>
        </w:rPr>
        <w:t>Ft</w:t>
      </w:r>
      <w:r>
        <w:rPr>
          <w:color w:val="000000"/>
          <w:sz w:val="22"/>
          <w:szCs w:val="22"/>
        </w:rPr>
        <w:t xml:space="preserve">-ról 2.410 Ft-ra csökkent, ezek a hivatal pénzügyi-likviditási mutatószámai tekintetében kedvező hatást jelentenek. </w:t>
      </w:r>
    </w:p>
    <w:p w14:paraId="1F1AE834" w14:textId="77777777" w:rsidR="00DC5D30" w:rsidRPr="002A4E39" w:rsidRDefault="00DC5D30" w:rsidP="00DC5D3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Az alaptevékenység maradványa 2020. december 31.-én 3.948.020 Ft</w:t>
      </w:r>
      <w:r w:rsidR="00D84BAD">
        <w:rPr>
          <w:color w:val="000000"/>
          <w:sz w:val="22"/>
          <w:szCs w:val="22"/>
        </w:rPr>
        <w:t xml:space="preserve"> volt. </w:t>
      </w:r>
    </w:p>
    <w:p w14:paraId="664AD7F9" w14:textId="77777777" w:rsidR="008D053F" w:rsidRPr="002A4E39" w:rsidRDefault="008D053F" w:rsidP="008D053F">
      <w:pPr>
        <w:jc w:val="both"/>
        <w:rPr>
          <w:color w:val="000000"/>
          <w:sz w:val="22"/>
          <w:szCs w:val="22"/>
        </w:rPr>
      </w:pPr>
      <w:r w:rsidRPr="00DF53CF">
        <w:rPr>
          <w:color w:val="000000"/>
          <w:sz w:val="22"/>
          <w:szCs w:val="22"/>
        </w:rPr>
        <w:t>A felhalmozási kiadások</w:t>
      </w:r>
      <w:r w:rsidR="00DF53CF" w:rsidRPr="00DF53CF">
        <w:rPr>
          <w:color w:val="000000"/>
          <w:sz w:val="22"/>
          <w:szCs w:val="22"/>
        </w:rPr>
        <w:t>on belül k</w:t>
      </w:r>
      <w:r w:rsidR="00DF53CF" w:rsidRPr="00DF53CF">
        <w:rPr>
          <w:sz w:val="22"/>
          <w:szCs w:val="22"/>
        </w:rPr>
        <w:t>isértékű tárgyi eszközök beszerzése: irodai bútor, kártyaolvasók, monitor,</w:t>
      </w:r>
      <w:r w:rsidR="00DF53CF">
        <w:rPr>
          <w:sz w:val="22"/>
          <w:szCs w:val="22"/>
        </w:rPr>
        <w:t xml:space="preserve"> </w:t>
      </w:r>
      <w:r w:rsidR="00DF53CF" w:rsidRPr="00DF53CF">
        <w:rPr>
          <w:sz w:val="22"/>
          <w:szCs w:val="22"/>
        </w:rPr>
        <w:t xml:space="preserve">számítógép került beszerzésre, az elhasználódott, meghibásodott eszközök pótlását jelentik ezek a kiadások a hivatalnál. </w:t>
      </w:r>
      <w:r w:rsidR="00DF53CF">
        <w:rPr>
          <w:color w:val="000000"/>
          <w:sz w:val="22"/>
          <w:szCs w:val="22"/>
        </w:rPr>
        <w:t xml:space="preserve">A </w:t>
      </w:r>
      <w:r w:rsidRPr="00AA05A3">
        <w:rPr>
          <w:color w:val="000000"/>
          <w:sz w:val="22"/>
          <w:szCs w:val="22"/>
        </w:rPr>
        <w:t xml:space="preserve">tervteljesítési mutató </w:t>
      </w:r>
      <w:r w:rsidR="00F36FD3">
        <w:rPr>
          <w:color w:val="000000"/>
          <w:sz w:val="22"/>
          <w:szCs w:val="22"/>
        </w:rPr>
        <w:t>100</w:t>
      </w:r>
      <w:r>
        <w:rPr>
          <w:sz w:val="22"/>
          <w:szCs w:val="22"/>
        </w:rPr>
        <w:t xml:space="preserve"> %, a teljesítés összege </w:t>
      </w:r>
      <w:r w:rsidR="00DF53CF">
        <w:rPr>
          <w:sz w:val="22"/>
          <w:szCs w:val="22"/>
        </w:rPr>
        <w:t>784.055</w:t>
      </w:r>
      <w:r>
        <w:rPr>
          <w:sz w:val="22"/>
          <w:szCs w:val="22"/>
        </w:rPr>
        <w:t xml:space="preserve"> Ft, mely összeg</w:t>
      </w:r>
      <w:bookmarkEnd w:id="3"/>
      <w:r w:rsidRPr="002A4E39">
        <w:rPr>
          <w:color w:val="000000"/>
          <w:sz w:val="22"/>
          <w:szCs w:val="22"/>
        </w:rPr>
        <w:t xml:space="preserve"> növelte az eszközök állományát (3.sz. melléklet). </w:t>
      </w:r>
    </w:p>
    <w:p w14:paraId="604C576D" w14:textId="77777777" w:rsidR="008D053F" w:rsidRPr="002A4E39" w:rsidRDefault="008D053F" w:rsidP="008D053F">
      <w:pPr>
        <w:jc w:val="both"/>
        <w:rPr>
          <w:color w:val="000000"/>
          <w:sz w:val="22"/>
          <w:szCs w:val="22"/>
        </w:rPr>
      </w:pPr>
    </w:p>
    <w:p w14:paraId="6BC2E6FB" w14:textId="77777777" w:rsidR="008D053F" w:rsidRPr="002A4E39" w:rsidRDefault="008D053F" w:rsidP="008D053F">
      <w:pPr>
        <w:jc w:val="both"/>
        <w:rPr>
          <w:b/>
          <w:color w:val="000000"/>
          <w:sz w:val="22"/>
          <w:szCs w:val="22"/>
        </w:rPr>
      </w:pPr>
      <w:r w:rsidRPr="002A4E39">
        <w:rPr>
          <w:b/>
          <w:color w:val="000000"/>
          <w:sz w:val="22"/>
          <w:szCs w:val="22"/>
        </w:rPr>
        <w:t>Polgár Város Önkormányzata</w:t>
      </w:r>
    </w:p>
    <w:p w14:paraId="2F242B16" w14:textId="77777777" w:rsidR="008D053F" w:rsidRPr="002A4E39" w:rsidRDefault="008D053F" w:rsidP="008D053F">
      <w:pPr>
        <w:jc w:val="both"/>
        <w:rPr>
          <w:b/>
          <w:color w:val="000000"/>
          <w:sz w:val="22"/>
          <w:szCs w:val="22"/>
        </w:rPr>
      </w:pPr>
    </w:p>
    <w:p w14:paraId="1995C73B" w14:textId="55BA1E1A" w:rsidR="008D053F" w:rsidRPr="002A4E39" w:rsidRDefault="008D053F" w:rsidP="008D053F">
      <w:pPr>
        <w:jc w:val="both"/>
        <w:rPr>
          <w:color w:val="000000"/>
          <w:sz w:val="22"/>
          <w:szCs w:val="22"/>
        </w:rPr>
      </w:pPr>
      <w:bookmarkStart w:id="4" w:name="_Hlk9413316"/>
      <w:r w:rsidRPr="002A4E39">
        <w:rPr>
          <w:color w:val="000000"/>
          <w:sz w:val="22"/>
          <w:szCs w:val="22"/>
        </w:rPr>
        <w:t>Az önkormányzat mérlegében szereplő eszközök és források</w:t>
      </w:r>
      <w:r>
        <w:rPr>
          <w:color w:val="000000"/>
          <w:sz w:val="22"/>
          <w:szCs w:val="22"/>
        </w:rPr>
        <w:t>év év végi</w:t>
      </w:r>
      <w:r w:rsidRPr="002A4E39">
        <w:rPr>
          <w:color w:val="000000"/>
          <w:sz w:val="22"/>
          <w:szCs w:val="22"/>
        </w:rPr>
        <w:t xml:space="preserve"> állománya </w:t>
      </w:r>
      <w:r w:rsidR="00AF059E">
        <w:rPr>
          <w:color w:val="000000"/>
          <w:sz w:val="22"/>
          <w:szCs w:val="22"/>
        </w:rPr>
        <w:t>3.871.075.913</w:t>
      </w:r>
      <w:r w:rsidRPr="002A4E39">
        <w:rPr>
          <w:color w:val="000000"/>
          <w:sz w:val="22"/>
          <w:szCs w:val="22"/>
        </w:rPr>
        <w:t xml:space="preserve"> Ft</w:t>
      </w:r>
      <w:r>
        <w:rPr>
          <w:color w:val="000000"/>
          <w:sz w:val="22"/>
          <w:szCs w:val="22"/>
        </w:rPr>
        <w:t xml:space="preserve">-ról, </w:t>
      </w:r>
      <w:r w:rsidR="00AF059E">
        <w:rPr>
          <w:color w:val="000000"/>
          <w:sz w:val="22"/>
          <w:szCs w:val="22"/>
        </w:rPr>
        <w:t xml:space="preserve">4.286.433.854 </w:t>
      </w:r>
      <w:r>
        <w:rPr>
          <w:color w:val="000000"/>
          <w:sz w:val="22"/>
          <w:szCs w:val="22"/>
        </w:rPr>
        <w:t>Ft-ra növekedett</w:t>
      </w:r>
      <w:r w:rsidR="00D77904">
        <w:rPr>
          <w:color w:val="000000"/>
          <w:sz w:val="22"/>
          <w:szCs w:val="22"/>
        </w:rPr>
        <w:t>, ezen belül a</w:t>
      </w:r>
      <w:r w:rsidRPr="002A4E39">
        <w:rPr>
          <w:color w:val="000000"/>
          <w:sz w:val="22"/>
          <w:szCs w:val="22"/>
        </w:rPr>
        <w:t xml:space="preserve"> pénzeszközök állománya 20</w:t>
      </w:r>
      <w:r w:rsidR="00AF059E">
        <w:rPr>
          <w:color w:val="000000"/>
          <w:sz w:val="22"/>
          <w:szCs w:val="22"/>
        </w:rPr>
        <w:t>20</w:t>
      </w:r>
      <w:r w:rsidRPr="002A4E39">
        <w:rPr>
          <w:color w:val="000000"/>
          <w:sz w:val="22"/>
          <w:szCs w:val="22"/>
        </w:rPr>
        <w:t xml:space="preserve">. december 31.-én </w:t>
      </w:r>
      <w:r w:rsidR="00AF059E">
        <w:rPr>
          <w:color w:val="000000"/>
          <w:sz w:val="22"/>
          <w:szCs w:val="22"/>
        </w:rPr>
        <w:t xml:space="preserve">708.378.486 </w:t>
      </w:r>
      <w:r w:rsidRPr="002A4E39">
        <w:rPr>
          <w:color w:val="000000"/>
          <w:sz w:val="22"/>
          <w:szCs w:val="22"/>
        </w:rPr>
        <w:t xml:space="preserve">Ft volt. </w:t>
      </w:r>
      <w:r w:rsidR="00D77904">
        <w:rPr>
          <w:color w:val="000000"/>
          <w:sz w:val="22"/>
          <w:szCs w:val="22"/>
        </w:rPr>
        <w:t xml:space="preserve">A befejezetlen beruházások </w:t>
      </w:r>
      <w:r w:rsidR="00E56FCF">
        <w:rPr>
          <w:color w:val="000000"/>
          <w:sz w:val="22"/>
          <w:szCs w:val="22"/>
        </w:rPr>
        <w:t>állománya 975.622.240</w:t>
      </w:r>
      <w:r w:rsidR="00AF059E">
        <w:rPr>
          <w:color w:val="000000"/>
          <w:sz w:val="22"/>
          <w:szCs w:val="22"/>
        </w:rPr>
        <w:t xml:space="preserve"> </w:t>
      </w:r>
      <w:r w:rsidR="00D77904">
        <w:rPr>
          <w:color w:val="000000"/>
          <w:sz w:val="22"/>
          <w:szCs w:val="22"/>
        </w:rPr>
        <w:t>Ft volt</w:t>
      </w:r>
      <w:r w:rsidR="008461D9">
        <w:rPr>
          <w:color w:val="000000"/>
          <w:sz w:val="22"/>
          <w:szCs w:val="22"/>
        </w:rPr>
        <w:t xml:space="preserve">, ezen belül a legnagyobb összeget </w:t>
      </w:r>
      <w:r w:rsidR="002E1BED">
        <w:rPr>
          <w:color w:val="000000"/>
          <w:sz w:val="22"/>
          <w:szCs w:val="22"/>
        </w:rPr>
        <w:t>–</w:t>
      </w:r>
      <w:r w:rsidR="008461D9">
        <w:rPr>
          <w:color w:val="000000"/>
          <w:sz w:val="22"/>
          <w:szCs w:val="22"/>
        </w:rPr>
        <w:t xml:space="preserve"> </w:t>
      </w:r>
      <w:r w:rsidR="002E1BED">
        <w:rPr>
          <w:color w:val="000000"/>
          <w:sz w:val="22"/>
          <w:szCs w:val="22"/>
        </w:rPr>
        <w:t>942.210.576</w:t>
      </w:r>
      <w:r w:rsidR="008461D9">
        <w:rPr>
          <w:color w:val="000000"/>
          <w:sz w:val="22"/>
          <w:szCs w:val="22"/>
        </w:rPr>
        <w:t xml:space="preserve"> Ft – a szennyvízberuházás jelenti</w:t>
      </w:r>
      <w:r w:rsidR="00D77904">
        <w:rPr>
          <w:color w:val="000000"/>
          <w:sz w:val="22"/>
          <w:szCs w:val="22"/>
        </w:rPr>
        <w:t xml:space="preserve">. </w:t>
      </w:r>
    </w:p>
    <w:bookmarkEnd w:id="4"/>
    <w:p w14:paraId="2208ECEA" w14:textId="77777777" w:rsidR="008D053F" w:rsidRPr="002A4E39" w:rsidRDefault="008D053F" w:rsidP="008D053F">
      <w:pPr>
        <w:jc w:val="both"/>
        <w:rPr>
          <w:color w:val="000000"/>
          <w:sz w:val="22"/>
          <w:szCs w:val="22"/>
        </w:rPr>
      </w:pPr>
      <w:r w:rsidRPr="002A4E39">
        <w:rPr>
          <w:color w:val="000000"/>
          <w:sz w:val="22"/>
          <w:szCs w:val="22"/>
        </w:rPr>
        <w:t>A részesedések állománya 20</w:t>
      </w:r>
      <w:r w:rsidR="00AF059E">
        <w:rPr>
          <w:color w:val="000000"/>
          <w:sz w:val="22"/>
          <w:szCs w:val="22"/>
        </w:rPr>
        <w:t>20</w:t>
      </w:r>
      <w:r w:rsidRPr="002A4E39">
        <w:rPr>
          <w:color w:val="000000"/>
          <w:sz w:val="22"/>
          <w:szCs w:val="22"/>
        </w:rPr>
        <w:t xml:space="preserve">. évben </w:t>
      </w:r>
      <w:r w:rsidR="008461D9">
        <w:rPr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 xml:space="preserve">em </w:t>
      </w:r>
      <w:r w:rsidRPr="002A4E39">
        <w:rPr>
          <w:color w:val="000000"/>
          <w:sz w:val="22"/>
          <w:szCs w:val="22"/>
        </w:rPr>
        <w:t>változott, értéke 15.</w:t>
      </w:r>
      <w:r w:rsidR="005C51B1">
        <w:rPr>
          <w:color w:val="000000"/>
          <w:sz w:val="22"/>
          <w:szCs w:val="22"/>
        </w:rPr>
        <w:t>430</w:t>
      </w:r>
      <w:r w:rsidRPr="002A4E39">
        <w:rPr>
          <w:color w:val="000000"/>
          <w:sz w:val="22"/>
          <w:szCs w:val="22"/>
        </w:rPr>
        <w:t>.000</w:t>
      </w:r>
      <w:r w:rsidR="001B7682">
        <w:rPr>
          <w:color w:val="000000"/>
          <w:sz w:val="22"/>
          <w:szCs w:val="22"/>
        </w:rPr>
        <w:t xml:space="preserve"> </w:t>
      </w:r>
      <w:r w:rsidRPr="002A4E39">
        <w:rPr>
          <w:color w:val="000000"/>
          <w:sz w:val="22"/>
          <w:szCs w:val="22"/>
        </w:rPr>
        <w:t xml:space="preserve">Ft. A részesedések állománya az alábbiakból áll: Korpusz </w:t>
      </w:r>
      <w:r>
        <w:rPr>
          <w:color w:val="000000"/>
          <w:sz w:val="22"/>
          <w:szCs w:val="22"/>
        </w:rPr>
        <w:t xml:space="preserve">’93 </w:t>
      </w:r>
      <w:proofErr w:type="gramStart"/>
      <w:r w:rsidRPr="002A4E39">
        <w:rPr>
          <w:color w:val="000000"/>
          <w:sz w:val="22"/>
          <w:szCs w:val="22"/>
        </w:rPr>
        <w:t>Kft</w:t>
      </w:r>
      <w:proofErr w:type="gramEnd"/>
      <w:r w:rsidRPr="002A4E39">
        <w:rPr>
          <w:color w:val="000000"/>
          <w:sz w:val="22"/>
          <w:szCs w:val="22"/>
        </w:rPr>
        <w:t xml:space="preserve"> 9.320.000</w:t>
      </w:r>
      <w:r w:rsidR="001B7682">
        <w:rPr>
          <w:color w:val="000000"/>
          <w:sz w:val="22"/>
          <w:szCs w:val="22"/>
        </w:rPr>
        <w:t xml:space="preserve">  </w:t>
      </w:r>
      <w:r w:rsidRPr="002A4E39">
        <w:rPr>
          <w:color w:val="000000"/>
          <w:sz w:val="22"/>
          <w:szCs w:val="22"/>
        </w:rPr>
        <w:t xml:space="preserve"> Ft (névértéke 2.230.000</w:t>
      </w:r>
      <w:r w:rsidR="001B7682">
        <w:rPr>
          <w:color w:val="000000"/>
          <w:sz w:val="22"/>
          <w:szCs w:val="22"/>
        </w:rPr>
        <w:t xml:space="preserve">  </w:t>
      </w:r>
      <w:r w:rsidRPr="002A4E39">
        <w:rPr>
          <w:color w:val="000000"/>
          <w:sz w:val="22"/>
          <w:szCs w:val="22"/>
        </w:rPr>
        <w:t xml:space="preserve"> Ft), Pétegisz Zrt 2.593.000</w:t>
      </w:r>
      <w:r w:rsidR="001B7682">
        <w:rPr>
          <w:color w:val="000000"/>
          <w:sz w:val="22"/>
          <w:szCs w:val="22"/>
        </w:rPr>
        <w:t xml:space="preserve">  </w:t>
      </w:r>
      <w:r w:rsidRPr="002A4E39">
        <w:rPr>
          <w:color w:val="000000"/>
          <w:sz w:val="22"/>
          <w:szCs w:val="22"/>
        </w:rPr>
        <w:t xml:space="preserve"> Ft, Hajdúsági Hull</w:t>
      </w:r>
      <w:r w:rsidR="005C30CD">
        <w:rPr>
          <w:color w:val="000000"/>
          <w:sz w:val="22"/>
          <w:szCs w:val="22"/>
        </w:rPr>
        <w:t>adékgazdálkodási</w:t>
      </w:r>
      <w:r w:rsidRPr="002A4E39">
        <w:rPr>
          <w:color w:val="000000"/>
          <w:sz w:val="22"/>
          <w:szCs w:val="22"/>
        </w:rPr>
        <w:t xml:space="preserve"> Szolg</w:t>
      </w:r>
      <w:r w:rsidR="005C30CD">
        <w:rPr>
          <w:color w:val="000000"/>
          <w:sz w:val="22"/>
          <w:szCs w:val="22"/>
        </w:rPr>
        <w:t xml:space="preserve">áltató </w:t>
      </w:r>
      <w:r w:rsidRPr="002A4E39">
        <w:rPr>
          <w:color w:val="000000"/>
          <w:sz w:val="22"/>
          <w:szCs w:val="22"/>
        </w:rPr>
        <w:t>Kft</w:t>
      </w:r>
      <w:r w:rsidR="005C30CD">
        <w:rPr>
          <w:color w:val="000000"/>
          <w:sz w:val="22"/>
          <w:szCs w:val="22"/>
        </w:rPr>
        <w:t>.</w:t>
      </w:r>
      <w:r w:rsidRPr="002A4E39">
        <w:rPr>
          <w:color w:val="000000"/>
          <w:sz w:val="22"/>
          <w:szCs w:val="22"/>
        </w:rPr>
        <w:t xml:space="preserve"> 1</w:t>
      </w:r>
      <w:r w:rsidR="005C51B1">
        <w:rPr>
          <w:color w:val="000000"/>
          <w:sz w:val="22"/>
          <w:szCs w:val="22"/>
        </w:rPr>
        <w:t>1</w:t>
      </w:r>
      <w:r w:rsidRPr="002A4E39">
        <w:rPr>
          <w:color w:val="000000"/>
          <w:sz w:val="22"/>
          <w:szCs w:val="22"/>
        </w:rPr>
        <w:t>0.000</w:t>
      </w:r>
      <w:r w:rsidR="001B7682">
        <w:rPr>
          <w:color w:val="000000"/>
          <w:sz w:val="22"/>
          <w:szCs w:val="22"/>
        </w:rPr>
        <w:t xml:space="preserve"> </w:t>
      </w:r>
      <w:r w:rsidRPr="002A4E39">
        <w:rPr>
          <w:color w:val="000000"/>
          <w:sz w:val="22"/>
          <w:szCs w:val="22"/>
        </w:rPr>
        <w:t>Ft, Hajdúkerületi Víziközmű Szolg</w:t>
      </w:r>
      <w:r w:rsidR="005C30CD">
        <w:rPr>
          <w:color w:val="000000"/>
          <w:sz w:val="22"/>
          <w:szCs w:val="22"/>
        </w:rPr>
        <w:t xml:space="preserve">áltató </w:t>
      </w:r>
      <w:r w:rsidRPr="002A4E39">
        <w:rPr>
          <w:color w:val="000000"/>
          <w:sz w:val="22"/>
          <w:szCs w:val="22"/>
        </w:rPr>
        <w:t>Zrt.</w:t>
      </w:r>
      <w:r w:rsidR="00AF059E">
        <w:rPr>
          <w:color w:val="000000"/>
          <w:sz w:val="22"/>
          <w:szCs w:val="22"/>
        </w:rPr>
        <w:t xml:space="preserve"> </w:t>
      </w:r>
      <w:r w:rsidRPr="002A4E39">
        <w:rPr>
          <w:color w:val="000000"/>
          <w:sz w:val="22"/>
          <w:szCs w:val="22"/>
        </w:rPr>
        <w:t>1.217.000Ft, Csemete Szociális Szövetkezet 2.000.000</w:t>
      </w:r>
      <w:r w:rsidR="00AF059E">
        <w:rPr>
          <w:color w:val="000000"/>
          <w:sz w:val="22"/>
          <w:szCs w:val="22"/>
        </w:rPr>
        <w:t xml:space="preserve"> </w:t>
      </w:r>
      <w:r w:rsidRPr="002A4E39">
        <w:rPr>
          <w:color w:val="000000"/>
          <w:sz w:val="22"/>
          <w:szCs w:val="22"/>
        </w:rPr>
        <w:t>Ft, Termálvíz Kht.</w:t>
      </w:r>
      <w:r w:rsidR="00AF059E">
        <w:rPr>
          <w:color w:val="000000"/>
          <w:sz w:val="22"/>
          <w:szCs w:val="22"/>
        </w:rPr>
        <w:t xml:space="preserve"> </w:t>
      </w:r>
      <w:r w:rsidRPr="002A4E39">
        <w:rPr>
          <w:color w:val="000000"/>
          <w:sz w:val="22"/>
          <w:szCs w:val="22"/>
        </w:rPr>
        <w:t>100.000</w:t>
      </w:r>
      <w:r w:rsidR="001B7682">
        <w:rPr>
          <w:color w:val="000000"/>
          <w:sz w:val="22"/>
          <w:szCs w:val="22"/>
        </w:rPr>
        <w:t xml:space="preserve"> </w:t>
      </w:r>
      <w:r w:rsidRPr="002A4E39">
        <w:rPr>
          <w:color w:val="000000"/>
          <w:sz w:val="22"/>
          <w:szCs w:val="22"/>
        </w:rPr>
        <w:t>Ft, Hortobágymenti Vidékfejl</w:t>
      </w:r>
      <w:r w:rsidR="005C30CD">
        <w:rPr>
          <w:color w:val="000000"/>
          <w:sz w:val="22"/>
          <w:szCs w:val="22"/>
        </w:rPr>
        <w:t>esztési</w:t>
      </w:r>
      <w:r w:rsidRPr="002A4E39">
        <w:rPr>
          <w:color w:val="000000"/>
          <w:sz w:val="22"/>
          <w:szCs w:val="22"/>
        </w:rPr>
        <w:t xml:space="preserve"> Kft. (LEADER) 50.000</w:t>
      </w:r>
      <w:r w:rsidR="001B7682">
        <w:rPr>
          <w:color w:val="000000"/>
          <w:sz w:val="22"/>
          <w:szCs w:val="22"/>
        </w:rPr>
        <w:t xml:space="preserve"> </w:t>
      </w:r>
      <w:r w:rsidRPr="002A4E39">
        <w:rPr>
          <w:color w:val="000000"/>
          <w:sz w:val="22"/>
          <w:szCs w:val="22"/>
        </w:rPr>
        <w:t xml:space="preserve">Ft, Debreceni Hulladék Közszolgáltató Kft. 40.000 Ft.  </w:t>
      </w:r>
    </w:p>
    <w:p w14:paraId="4B75959D" w14:textId="02B8699C" w:rsidR="003E0655" w:rsidRPr="002A4E39" w:rsidRDefault="008D053F" w:rsidP="008D053F">
      <w:pPr>
        <w:jc w:val="both"/>
        <w:rPr>
          <w:color w:val="000000"/>
          <w:sz w:val="22"/>
          <w:szCs w:val="22"/>
        </w:rPr>
      </w:pPr>
      <w:r w:rsidRPr="002A4E39">
        <w:rPr>
          <w:color w:val="000000"/>
          <w:sz w:val="22"/>
          <w:szCs w:val="22"/>
        </w:rPr>
        <w:t>A PÉTEGISZ Z</w:t>
      </w:r>
      <w:r w:rsidR="00E170BD">
        <w:rPr>
          <w:color w:val="000000"/>
          <w:sz w:val="22"/>
          <w:szCs w:val="22"/>
        </w:rPr>
        <w:t>r</w:t>
      </w:r>
      <w:r w:rsidRPr="002A4E39">
        <w:rPr>
          <w:color w:val="000000"/>
          <w:sz w:val="22"/>
          <w:szCs w:val="22"/>
        </w:rPr>
        <w:t>t-vel szembeni működési célú kölcsön</w:t>
      </w:r>
      <w:r w:rsidR="00587B8F">
        <w:rPr>
          <w:color w:val="000000"/>
          <w:sz w:val="22"/>
          <w:szCs w:val="22"/>
        </w:rPr>
        <w:t xml:space="preserve"> 20</w:t>
      </w:r>
      <w:r w:rsidR="003E0655">
        <w:rPr>
          <w:color w:val="000000"/>
          <w:sz w:val="22"/>
          <w:szCs w:val="22"/>
        </w:rPr>
        <w:t>20</w:t>
      </w:r>
      <w:r w:rsidR="00587B8F">
        <w:rPr>
          <w:color w:val="000000"/>
          <w:sz w:val="22"/>
          <w:szCs w:val="22"/>
        </w:rPr>
        <w:t>.12.31.-</w:t>
      </w:r>
      <w:r w:rsidR="00E56FCF">
        <w:rPr>
          <w:color w:val="000000"/>
          <w:sz w:val="22"/>
          <w:szCs w:val="22"/>
        </w:rPr>
        <w:t xml:space="preserve">i </w:t>
      </w:r>
      <w:r w:rsidR="00E56FCF" w:rsidRPr="002A4E39">
        <w:rPr>
          <w:color w:val="000000"/>
          <w:sz w:val="22"/>
          <w:szCs w:val="22"/>
        </w:rPr>
        <w:t>állománya</w:t>
      </w:r>
      <w:r w:rsidR="003E0655">
        <w:rPr>
          <w:color w:val="000000"/>
          <w:sz w:val="22"/>
          <w:szCs w:val="22"/>
        </w:rPr>
        <w:t xml:space="preserve"> 3.699.000</w:t>
      </w:r>
      <w:r w:rsidRPr="002A4E39">
        <w:rPr>
          <w:color w:val="000000"/>
          <w:sz w:val="22"/>
          <w:szCs w:val="22"/>
        </w:rPr>
        <w:t xml:space="preserve"> Ft, a felhalmozási célú kölcsöné </w:t>
      </w:r>
      <w:r w:rsidR="003E0655">
        <w:rPr>
          <w:color w:val="000000"/>
          <w:sz w:val="22"/>
          <w:szCs w:val="22"/>
        </w:rPr>
        <w:t xml:space="preserve">0 </w:t>
      </w:r>
      <w:r w:rsidRPr="002A4E39">
        <w:rPr>
          <w:color w:val="000000"/>
          <w:sz w:val="22"/>
          <w:szCs w:val="22"/>
        </w:rPr>
        <w:t>Ft</w:t>
      </w:r>
      <w:r w:rsidR="00025A26">
        <w:rPr>
          <w:color w:val="000000"/>
          <w:sz w:val="22"/>
          <w:szCs w:val="22"/>
        </w:rPr>
        <w:t xml:space="preserve">. </w:t>
      </w:r>
    </w:p>
    <w:p w14:paraId="78F9823F" w14:textId="5F1C9270" w:rsidR="008D053F" w:rsidRPr="002A4E39" w:rsidRDefault="008D053F" w:rsidP="008D053F">
      <w:pPr>
        <w:jc w:val="both"/>
        <w:rPr>
          <w:color w:val="000000"/>
          <w:sz w:val="22"/>
          <w:szCs w:val="22"/>
        </w:rPr>
      </w:pPr>
      <w:r w:rsidRPr="002A4E39">
        <w:rPr>
          <w:color w:val="000000"/>
          <w:sz w:val="22"/>
          <w:szCs w:val="22"/>
        </w:rPr>
        <w:t>A közhatalmi bevételekből (helyi adókból) származó követelések összege</w:t>
      </w:r>
      <w:r w:rsidR="00845B68">
        <w:rPr>
          <w:color w:val="000000"/>
          <w:sz w:val="22"/>
          <w:szCs w:val="22"/>
        </w:rPr>
        <w:t xml:space="preserve"> </w:t>
      </w:r>
      <w:r w:rsidR="003E0655">
        <w:rPr>
          <w:color w:val="000000"/>
          <w:sz w:val="22"/>
          <w:szCs w:val="22"/>
        </w:rPr>
        <w:t>179.689.184</w:t>
      </w:r>
      <w:r w:rsidR="001B7682">
        <w:rPr>
          <w:color w:val="000000"/>
          <w:sz w:val="22"/>
          <w:szCs w:val="22"/>
        </w:rPr>
        <w:t xml:space="preserve"> </w:t>
      </w:r>
      <w:r w:rsidRPr="002A4E39">
        <w:rPr>
          <w:color w:val="000000"/>
          <w:sz w:val="22"/>
          <w:szCs w:val="22"/>
        </w:rPr>
        <w:t xml:space="preserve">Ft, a kötelezettségek állománya </w:t>
      </w:r>
      <w:r w:rsidR="00845B68">
        <w:rPr>
          <w:color w:val="000000"/>
          <w:sz w:val="22"/>
          <w:szCs w:val="22"/>
        </w:rPr>
        <w:t xml:space="preserve">(túlfizetés) </w:t>
      </w:r>
      <w:r w:rsidR="00E56FCF">
        <w:rPr>
          <w:color w:val="000000"/>
          <w:sz w:val="22"/>
          <w:szCs w:val="22"/>
        </w:rPr>
        <w:t xml:space="preserve">3.039.066 </w:t>
      </w:r>
      <w:r w:rsidR="00E56FCF" w:rsidRPr="002A4E39">
        <w:rPr>
          <w:color w:val="000000"/>
          <w:sz w:val="22"/>
          <w:szCs w:val="22"/>
        </w:rPr>
        <w:t>Ft.</w:t>
      </w:r>
    </w:p>
    <w:p w14:paraId="17069F67" w14:textId="37D22A23" w:rsidR="008D053F" w:rsidRDefault="008D053F" w:rsidP="008D053F">
      <w:pPr>
        <w:jc w:val="both"/>
        <w:rPr>
          <w:color w:val="000000"/>
          <w:sz w:val="22"/>
          <w:szCs w:val="22"/>
        </w:rPr>
      </w:pPr>
      <w:r w:rsidRPr="002A4E39">
        <w:rPr>
          <w:color w:val="000000"/>
          <w:sz w:val="22"/>
          <w:szCs w:val="22"/>
        </w:rPr>
        <w:t xml:space="preserve">A köztemetéshez kapcsolódóan fennálló követelés év végi állománya </w:t>
      </w:r>
      <w:r w:rsidR="00C15888">
        <w:rPr>
          <w:color w:val="000000"/>
          <w:sz w:val="22"/>
          <w:szCs w:val="22"/>
        </w:rPr>
        <w:t>8.627.871</w:t>
      </w:r>
      <w:r w:rsidR="001B7682">
        <w:rPr>
          <w:color w:val="000000"/>
          <w:sz w:val="22"/>
          <w:szCs w:val="22"/>
        </w:rPr>
        <w:t xml:space="preserve">  </w:t>
      </w:r>
      <w:r w:rsidRPr="002A4E39">
        <w:rPr>
          <w:color w:val="000000"/>
          <w:sz w:val="22"/>
          <w:szCs w:val="22"/>
        </w:rPr>
        <w:t xml:space="preserve"> Ft</w:t>
      </w:r>
      <w:r w:rsidR="00845B68">
        <w:rPr>
          <w:color w:val="000000"/>
          <w:sz w:val="22"/>
          <w:szCs w:val="22"/>
        </w:rPr>
        <w:t xml:space="preserve"> volt.</w:t>
      </w:r>
      <w:r w:rsidRPr="002A4E39">
        <w:rPr>
          <w:color w:val="000000"/>
          <w:sz w:val="22"/>
          <w:szCs w:val="22"/>
        </w:rPr>
        <w:t xml:space="preserve"> </w:t>
      </w:r>
      <w:r w:rsidR="00845B68">
        <w:rPr>
          <w:color w:val="000000"/>
          <w:sz w:val="22"/>
          <w:szCs w:val="22"/>
        </w:rPr>
        <w:t xml:space="preserve">A HBVSZ </w:t>
      </w:r>
      <w:proofErr w:type="spellStart"/>
      <w:r w:rsidR="00845B68">
        <w:rPr>
          <w:color w:val="000000"/>
          <w:sz w:val="22"/>
          <w:szCs w:val="22"/>
        </w:rPr>
        <w:t>ZRt</w:t>
      </w:r>
      <w:proofErr w:type="spellEnd"/>
      <w:r w:rsidR="00845B68">
        <w:rPr>
          <w:color w:val="000000"/>
          <w:sz w:val="22"/>
          <w:szCs w:val="22"/>
        </w:rPr>
        <w:t xml:space="preserve">. felé fennálló követelés </w:t>
      </w:r>
      <w:r w:rsidR="00E56FCF">
        <w:rPr>
          <w:color w:val="000000"/>
          <w:sz w:val="22"/>
          <w:szCs w:val="22"/>
        </w:rPr>
        <w:t>(bérleti</w:t>
      </w:r>
      <w:r w:rsidR="00845B68">
        <w:rPr>
          <w:color w:val="000000"/>
          <w:sz w:val="22"/>
          <w:szCs w:val="22"/>
        </w:rPr>
        <w:t xml:space="preserve"> díj) </w:t>
      </w:r>
      <w:r w:rsidR="003652D7">
        <w:rPr>
          <w:color w:val="000000"/>
          <w:sz w:val="22"/>
          <w:szCs w:val="22"/>
        </w:rPr>
        <w:t>32.972.431</w:t>
      </w:r>
      <w:r w:rsidR="001B7682">
        <w:rPr>
          <w:color w:val="000000"/>
          <w:sz w:val="22"/>
          <w:szCs w:val="22"/>
        </w:rPr>
        <w:t xml:space="preserve">  </w:t>
      </w:r>
      <w:r w:rsidR="00845B68">
        <w:rPr>
          <w:color w:val="000000"/>
          <w:sz w:val="22"/>
          <w:szCs w:val="22"/>
        </w:rPr>
        <w:t xml:space="preserve"> Ft volt. A közfoglalkoztatottak munkabér </w:t>
      </w:r>
      <w:r w:rsidR="001852C3">
        <w:rPr>
          <w:color w:val="000000"/>
          <w:sz w:val="22"/>
          <w:szCs w:val="22"/>
        </w:rPr>
        <w:t>kötelezettség</w:t>
      </w:r>
      <w:r w:rsidR="00845B68">
        <w:rPr>
          <w:color w:val="000000"/>
          <w:sz w:val="22"/>
          <w:szCs w:val="22"/>
        </w:rPr>
        <w:t xml:space="preserve"> év végi állománya</w:t>
      </w:r>
      <w:r w:rsidR="001852C3">
        <w:rPr>
          <w:color w:val="000000"/>
          <w:sz w:val="22"/>
          <w:szCs w:val="22"/>
        </w:rPr>
        <w:t xml:space="preserve"> 79.766</w:t>
      </w:r>
      <w:r w:rsidR="00845B68">
        <w:rPr>
          <w:color w:val="000000"/>
          <w:sz w:val="22"/>
          <w:szCs w:val="22"/>
        </w:rPr>
        <w:t xml:space="preserve"> Ft</w:t>
      </w:r>
      <w:r w:rsidR="001852C3">
        <w:rPr>
          <w:color w:val="000000"/>
          <w:sz w:val="22"/>
          <w:szCs w:val="22"/>
        </w:rPr>
        <w:t xml:space="preserve">, a visszafizetési követelés 551.969 Ft </w:t>
      </w:r>
      <w:r w:rsidR="00845B68">
        <w:rPr>
          <w:color w:val="000000"/>
          <w:sz w:val="22"/>
          <w:szCs w:val="22"/>
        </w:rPr>
        <w:t>volt. Az önkormányzati ingatlanok eladásából származó követelések 20</w:t>
      </w:r>
      <w:r w:rsidR="001852C3">
        <w:rPr>
          <w:color w:val="000000"/>
          <w:sz w:val="22"/>
          <w:szCs w:val="22"/>
        </w:rPr>
        <w:t>20.</w:t>
      </w:r>
      <w:r w:rsidR="00845B68">
        <w:rPr>
          <w:color w:val="000000"/>
          <w:sz w:val="22"/>
          <w:szCs w:val="22"/>
        </w:rPr>
        <w:t xml:space="preserve">12.31.-i állománya </w:t>
      </w:r>
      <w:r w:rsidR="001852C3">
        <w:rPr>
          <w:color w:val="000000"/>
          <w:sz w:val="22"/>
          <w:szCs w:val="22"/>
        </w:rPr>
        <w:t>4.721.982</w:t>
      </w:r>
      <w:r w:rsidR="00845B68">
        <w:rPr>
          <w:color w:val="000000"/>
          <w:sz w:val="22"/>
          <w:szCs w:val="22"/>
        </w:rPr>
        <w:t xml:space="preserve"> Ft volt. </w:t>
      </w:r>
      <w:r w:rsidR="00B16137">
        <w:rPr>
          <w:color w:val="000000"/>
          <w:sz w:val="22"/>
          <w:szCs w:val="22"/>
        </w:rPr>
        <w:t>A szennyvízhálózatra csatlakozás</w:t>
      </w:r>
      <w:r w:rsidR="00B57523">
        <w:rPr>
          <w:color w:val="000000"/>
          <w:sz w:val="22"/>
          <w:szCs w:val="22"/>
        </w:rPr>
        <w:t>h</w:t>
      </w:r>
      <w:r w:rsidR="00B16137">
        <w:rPr>
          <w:color w:val="000000"/>
          <w:sz w:val="22"/>
          <w:szCs w:val="22"/>
        </w:rPr>
        <w:t xml:space="preserve">oz kapcsolódó követelés összege </w:t>
      </w:r>
      <w:r w:rsidR="001852C3">
        <w:rPr>
          <w:color w:val="000000"/>
          <w:sz w:val="22"/>
          <w:szCs w:val="22"/>
        </w:rPr>
        <w:t xml:space="preserve">917.640 </w:t>
      </w:r>
      <w:r w:rsidR="00B16137">
        <w:rPr>
          <w:color w:val="000000"/>
          <w:sz w:val="22"/>
          <w:szCs w:val="22"/>
        </w:rPr>
        <w:t>Ft</w:t>
      </w:r>
      <w:r w:rsidR="00D01D20">
        <w:rPr>
          <w:color w:val="000000"/>
          <w:sz w:val="22"/>
          <w:szCs w:val="22"/>
        </w:rPr>
        <w:t xml:space="preserve">-ról </w:t>
      </w:r>
      <w:r w:rsidR="001852C3">
        <w:rPr>
          <w:color w:val="000000"/>
          <w:sz w:val="22"/>
          <w:szCs w:val="22"/>
        </w:rPr>
        <w:t xml:space="preserve">1.012.463 </w:t>
      </w:r>
      <w:r w:rsidR="00D01D20">
        <w:rPr>
          <w:color w:val="000000"/>
          <w:sz w:val="22"/>
          <w:szCs w:val="22"/>
        </w:rPr>
        <w:t xml:space="preserve">Ft-ra </w:t>
      </w:r>
      <w:r w:rsidR="001852C3">
        <w:rPr>
          <w:color w:val="000000"/>
          <w:sz w:val="22"/>
          <w:szCs w:val="22"/>
        </w:rPr>
        <w:t>változott</w:t>
      </w:r>
      <w:r w:rsidR="00D01D20">
        <w:rPr>
          <w:color w:val="000000"/>
          <w:sz w:val="22"/>
          <w:szCs w:val="22"/>
        </w:rPr>
        <w:t>.</w:t>
      </w:r>
      <w:r w:rsidR="00B16137">
        <w:rPr>
          <w:color w:val="000000"/>
          <w:sz w:val="22"/>
          <w:szCs w:val="22"/>
        </w:rPr>
        <w:t xml:space="preserve"> </w:t>
      </w:r>
      <w:r w:rsidR="0017240D">
        <w:rPr>
          <w:color w:val="000000"/>
          <w:sz w:val="22"/>
          <w:szCs w:val="22"/>
        </w:rPr>
        <w:t>A szociális célú kölcsön állománya 768.045 Ft, a rászorult családok kölcsöne esetében fennálló követelés 264.818 Ft. Az adott előlegek állománya 714.225 Ft vol</w:t>
      </w:r>
      <w:r w:rsidR="006070C4">
        <w:rPr>
          <w:color w:val="000000"/>
          <w:sz w:val="22"/>
          <w:szCs w:val="22"/>
        </w:rPr>
        <w:t>t, Magyar Államkincstár felé forgótőke megelőlegezés összege 666.000 Ft.</w:t>
      </w:r>
    </w:p>
    <w:p w14:paraId="741DF746" w14:textId="77777777" w:rsidR="008D053F" w:rsidRPr="002A4E39" w:rsidRDefault="00B16137" w:rsidP="008D053F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 20</w:t>
      </w:r>
      <w:r w:rsidR="00D01D20">
        <w:rPr>
          <w:color w:val="000000"/>
          <w:sz w:val="22"/>
          <w:szCs w:val="22"/>
        </w:rPr>
        <w:t>2</w:t>
      </w:r>
      <w:r w:rsidR="003E0655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 xml:space="preserve">. évi január havi nettó előleg összege </w:t>
      </w:r>
      <w:r w:rsidR="003E0655">
        <w:rPr>
          <w:color w:val="000000"/>
          <w:sz w:val="22"/>
          <w:szCs w:val="22"/>
        </w:rPr>
        <w:t>24.874.163</w:t>
      </w:r>
      <w:r>
        <w:rPr>
          <w:color w:val="000000"/>
          <w:sz w:val="22"/>
          <w:szCs w:val="22"/>
        </w:rPr>
        <w:t xml:space="preserve"> Ft volt, a hosszútávú közfoglalkoztatás 20</w:t>
      </w:r>
      <w:r w:rsidR="00C8015F">
        <w:rPr>
          <w:color w:val="000000"/>
          <w:sz w:val="22"/>
          <w:szCs w:val="22"/>
        </w:rPr>
        <w:t>2</w:t>
      </w:r>
      <w:r w:rsidR="003E0655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 xml:space="preserve">. évi előlege év végi állománya </w:t>
      </w:r>
      <w:r w:rsidR="001B768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Ft. A letéti pénzeszközök év végi állománya </w:t>
      </w:r>
      <w:r w:rsidR="003652D7">
        <w:rPr>
          <w:color w:val="000000"/>
          <w:sz w:val="22"/>
          <w:szCs w:val="22"/>
        </w:rPr>
        <w:t xml:space="preserve">változatlan, </w:t>
      </w:r>
      <w:r>
        <w:rPr>
          <w:color w:val="000000"/>
          <w:sz w:val="22"/>
          <w:szCs w:val="22"/>
        </w:rPr>
        <w:t>107.016</w:t>
      </w:r>
      <w:r w:rsidR="001B7682"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 xml:space="preserve"> Ft volt.</w:t>
      </w:r>
    </w:p>
    <w:p w14:paraId="3CA435DC" w14:textId="2598DBFA" w:rsidR="008D053F" w:rsidRPr="002A4E39" w:rsidRDefault="00B16137" w:rsidP="008D053F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Az eredményszemléletű halasztott passzív időbeli </w:t>
      </w:r>
      <w:r w:rsidR="000D65D4">
        <w:rPr>
          <w:color w:val="000000"/>
          <w:sz w:val="22"/>
          <w:szCs w:val="22"/>
        </w:rPr>
        <w:t>elhatárolás</w:t>
      </w:r>
      <w:r w:rsidR="00DD2CFE">
        <w:rPr>
          <w:color w:val="000000"/>
          <w:sz w:val="22"/>
          <w:szCs w:val="22"/>
        </w:rPr>
        <w:t>a</w:t>
      </w:r>
      <w:r w:rsidR="000D65D4">
        <w:rPr>
          <w:color w:val="000000"/>
          <w:sz w:val="22"/>
          <w:szCs w:val="22"/>
        </w:rPr>
        <w:t xml:space="preserve">ként van nyilvántartásban a TOP-os </w:t>
      </w:r>
      <w:r w:rsidR="003E0655">
        <w:rPr>
          <w:color w:val="000000"/>
          <w:sz w:val="22"/>
          <w:szCs w:val="22"/>
        </w:rPr>
        <w:t xml:space="preserve">és EFOP-os </w:t>
      </w:r>
      <w:r w:rsidR="000D65D4">
        <w:rPr>
          <w:color w:val="000000"/>
          <w:sz w:val="22"/>
          <w:szCs w:val="22"/>
        </w:rPr>
        <w:t>beruházások tekintetében</w:t>
      </w:r>
      <w:r w:rsidR="003E0655">
        <w:rPr>
          <w:color w:val="000000"/>
          <w:sz w:val="22"/>
          <w:szCs w:val="22"/>
        </w:rPr>
        <w:t xml:space="preserve"> </w:t>
      </w:r>
      <w:r w:rsidR="00E56FCF">
        <w:rPr>
          <w:color w:val="000000"/>
          <w:sz w:val="22"/>
          <w:szCs w:val="22"/>
        </w:rPr>
        <w:t>388.009.162 Ft.</w:t>
      </w:r>
      <w:r w:rsidR="000D65D4">
        <w:rPr>
          <w:color w:val="000000"/>
          <w:sz w:val="22"/>
          <w:szCs w:val="22"/>
        </w:rPr>
        <w:t xml:space="preserve"> </w:t>
      </w:r>
    </w:p>
    <w:p w14:paraId="02B31576" w14:textId="77777777" w:rsidR="00552CF4" w:rsidRPr="00262F5B" w:rsidRDefault="00552CF4" w:rsidP="0048022D">
      <w:pPr>
        <w:jc w:val="both"/>
        <w:rPr>
          <w:sz w:val="22"/>
          <w:szCs w:val="22"/>
        </w:rPr>
      </w:pPr>
    </w:p>
    <w:p w14:paraId="2B4B0FDC" w14:textId="77777777" w:rsidR="00732A11" w:rsidRPr="00262F5B" w:rsidRDefault="00732A11" w:rsidP="00732A1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IV. </w:t>
      </w:r>
      <w:r w:rsidRPr="00262F5B">
        <w:rPr>
          <w:b/>
          <w:sz w:val="22"/>
          <w:szCs w:val="22"/>
        </w:rPr>
        <w:t>Közvetett támogatások alakulása</w:t>
      </w:r>
    </w:p>
    <w:p w14:paraId="79AC230B" w14:textId="77777777" w:rsidR="00732A11" w:rsidRPr="00262F5B" w:rsidRDefault="00732A11" w:rsidP="00732A11">
      <w:pPr>
        <w:jc w:val="both"/>
        <w:rPr>
          <w:color w:val="000000"/>
          <w:sz w:val="22"/>
          <w:szCs w:val="22"/>
        </w:rPr>
      </w:pPr>
    </w:p>
    <w:p w14:paraId="5BC94FB6" w14:textId="77777777" w:rsidR="00732A11" w:rsidRPr="00262F5B" w:rsidRDefault="00732A11" w:rsidP="00732A11">
      <w:pPr>
        <w:pStyle w:val="Szvegtrzs3"/>
        <w:jc w:val="both"/>
        <w:rPr>
          <w:color w:val="000000"/>
          <w:szCs w:val="22"/>
        </w:rPr>
      </w:pPr>
      <w:r w:rsidRPr="00262F5B">
        <w:rPr>
          <w:color w:val="000000"/>
          <w:szCs w:val="22"/>
        </w:rPr>
        <w:t xml:space="preserve">Polgár Város Önkormányzata és intézményei által nyújtott közvetett támogatásokat, intézményenkénti bontásban, szöveges információval kiegészítve a 9. sz. melléklet mutatja be. </w:t>
      </w:r>
    </w:p>
    <w:p w14:paraId="5503D68D" w14:textId="77777777" w:rsidR="0045185E" w:rsidRPr="00AA4612" w:rsidRDefault="0045185E" w:rsidP="0045185E">
      <w:pPr>
        <w:pStyle w:val="Szvegtrzs3"/>
        <w:jc w:val="both"/>
        <w:rPr>
          <w:szCs w:val="22"/>
        </w:rPr>
      </w:pPr>
      <w:r w:rsidRPr="00262F5B">
        <w:rPr>
          <w:szCs w:val="22"/>
        </w:rPr>
        <w:t xml:space="preserve">Az önkormányzatnál a magánszemélyek kommunális adója esetében az adómentességet a helyi adórendelet biztosítja a 65. életévet betöltött egyedülállók és a 70. életévet betöltött adóalanyok számára. A mentesség összege </w:t>
      </w:r>
      <w:r w:rsidR="00076D1F">
        <w:rPr>
          <w:szCs w:val="22"/>
        </w:rPr>
        <w:t>9.037.000</w:t>
      </w:r>
      <w:r w:rsidR="001B7682">
        <w:rPr>
          <w:szCs w:val="22"/>
        </w:rPr>
        <w:t xml:space="preserve"> </w:t>
      </w:r>
      <w:r w:rsidRPr="00262F5B">
        <w:rPr>
          <w:szCs w:val="22"/>
        </w:rPr>
        <w:t>Ft, mely 1.</w:t>
      </w:r>
      <w:r>
        <w:rPr>
          <w:szCs w:val="22"/>
        </w:rPr>
        <w:t>2</w:t>
      </w:r>
      <w:r w:rsidR="00076D1F">
        <w:rPr>
          <w:szCs w:val="22"/>
        </w:rPr>
        <w:t>91</w:t>
      </w:r>
      <w:r w:rsidRPr="00262F5B">
        <w:rPr>
          <w:szCs w:val="22"/>
        </w:rPr>
        <w:t xml:space="preserve"> főt érint.  A gépjárműadó esetében az adómentességet a Gépjárműadóról szóló tv. biztosítja, a súlyosan mozgáskorlátozottak, valamint a </w:t>
      </w:r>
      <w:proofErr w:type="spellStart"/>
      <w:r w:rsidRPr="00262F5B">
        <w:rPr>
          <w:szCs w:val="22"/>
        </w:rPr>
        <w:t>ktg</w:t>
      </w:r>
      <w:proofErr w:type="spellEnd"/>
      <w:r w:rsidRPr="00262F5B">
        <w:rPr>
          <w:szCs w:val="22"/>
        </w:rPr>
        <w:t xml:space="preserve">.-i szervek, alapítványok részére. A mentesség összeg </w:t>
      </w:r>
      <w:r>
        <w:rPr>
          <w:szCs w:val="22"/>
        </w:rPr>
        <w:t>944.640</w:t>
      </w:r>
      <w:r w:rsidRPr="00262F5B">
        <w:rPr>
          <w:szCs w:val="22"/>
        </w:rPr>
        <w:t xml:space="preserve"> Ft, mely </w:t>
      </w:r>
      <w:r>
        <w:rPr>
          <w:szCs w:val="22"/>
        </w:rPr>
        <w:t xml:space="preserve">32 </w:t>
      </w:r>
      <w:r w:rsidRPr="00262F5B">
        <w:rPr>
          <w:szCs w:val="22"/>
        </w:rPr>
        <w:t xml:space="preserve">db gépjárművet érint. </w:t>
      </w:r>
    </w:p>
    <w:p w14:paraId="0F4ACC79" w14:textId="77777777" w:rsidR="0045185E" w:rsidRPr="00262F5B" w:rsidRDefault="0045185E" w:rsidP="0045185E">
      <w:pPr>
        <w:pStyle w:val="Szvegtrzs3"/>
        <w:jc w:val="both"/>
        <w:rPr>
          <w:szCs w:val="22"/>
        </w:rPr>
      </w:pPr>
      <w:r w:rsidRPr="00262F5B">
        <w:rPr>
          <w:szCs w:val="22"/>
        </w:rPr>
        <w:t xml:space="preserve">Az Ady Endre Művelődési Központ és Könyvtárnál biztosítják a termet évente </w:t>
      </w:r>
      <w:r>
        <w:rPr>
          <w:szCs w:val="22"/>
        </w:rPr>
        <w:t>4</w:t>
      </w:r>
      <w:r w:rsidRPr="00262F5B">
        <w:rPr>
          <w:szCs w:val="22"/>
        </w:rPr>
        <w:t xml:space="preserve"> alkalommal véradás céljára, 1 </w:t>
      </w:r>
      <w:r>
        <w:rPr>
          <w:szCs w:val="22"/>
        </w:rPr>
        <w:t xml:space="preserve">alkalommal a PÉTEGISZ </w:t>
      </w:r>
      <w:r>
        <w:t>Zrt.</w:t>
      </w:r>
      <w:r w:rsidRPr="00262F5B">
        <w:rPr>
          <w:szCs w:val="22"/>
        </w:rPr>
        <w:t xml:space="preserve"> részére a támogatás értéke </w:t>
      </w:r>
      <w:r w:rsidR="005566B7">
        <w:rPr>
          <w:szCs w:val="22"/>
        </w:rPr>
        <w:t xml:space="preserve">84.000 </w:t>
      </w:r>
      <w:r w:rsidRPr="00262F5B">
        <w:rPr>
          <w:szCs w:val="22"/>
        </w:rPr>
        <w:t xml:space="preserve">Ft. A könyvtári szolgáltatás </w:t>
      </w:r>
      <w:r w:rsidRPr="00262F5B">
        <w:rPr>
          <w:szCs w:val="22"/>
        </w:rPr>
        <w:lastRenderedPageBreak/>
        <w:t>szakfeladaton törvény írja elő a 16 év alatti (</w:t>
      </w:r>
      <w:r w:rsidR="005566B7">
        <w:rPr>
          <w:szCs w:val="22"/>
        </w:rPr>
        <w:t>205</w:t>
      </w:r>
      <w:r w:rsidRPr="00262F5B">
        <w:rPr>
          <w:szCs w:val="22"/>
        </w:rPr>
        <w:t xml:space="preserve"> fő) és a 70 év feletti (</w:t>
      </w:r>
      <w:r w:rsidR="005566B7">
        <w:rPr>
          <w:szCs w:val="22"/>
        </w:rPr>
        <w:t>44</w:t>
      </w:r>
      <w:r w:rsidRPr="00262F5B">
        <w:rPr>
          <w:szCs w:val="22"/>
        </w:rPr>
        <w:t xml:space="preserve"> fő) olvasók beiratkozásának ingyenességét. A diákok (</w:t>
      </w:r>
      <w:r w:rsidR="005566B7">
        <w:rPr>
          <w:szCs w:val="22"/>
        </w:rPr>
        <w:t>12</w:t>
      </w:r>
      <w:r w:rsidRPr="00262F5B">
        <w:rPr>
          <w:szCs w:val="22"/>
        </w:rPr>
        <w:t xml:space="preserve"> fő) </w:t>
      </w:r>
      <w:r w:rsidRPr="00262F5B">
        <w:rPr>
          <w:color w:val="000000"/>
          <w:szCs w:val="22"/>
        </w:rPr>
        <w:t>nyugdíjasok (</w:t>
      </w:r>
      <w:r w:rsidR="005566B7">
        <w:rPr>
          <w:color w:val="000000"/>
          <w:szCs w:val="22"/>
        </w:rPr>
        <w:t>29</w:t>
      </w:r>
      <w:r w:rsidRPr="00262F5B">
        <w:rPr>
          <w:color w:val="000000"/>
          <w:szCs w:val="22"/>
        </w:rPr>
        <w:t xml:space="preserve"> fő)</w:t>
      </w:r>
      <w:r w:rsidRPr="00262F5B">
        <w:rPr>
          <w:szCs w:val="22"/>
        </w:rPr>
        <w:t xml:space="preserve"> és pedagógusok (1</w:t>
      </w:r>
      <w:r w:rsidR="005566B7">
        <w:rPr>
          <w:szCs w:val="22"/>
        </w:rPr>
        <w:t>1</w:t>
      </w:r>
      <w:r w:rsidRPr="00262F5B">
        <w:rPr>
          <w:szCs w:val="22"/>
        </w:rPr>
        <w:t xml:space="preserve"> fő) 50 % kedvezményben részesülnek. A könyvtárt érintő közvetett támogatások összege éves szinten </w:t>
      </w:r>
      <w:r w:rsidR="005566B7">
        <w:rPr>
          <w:szCs w:val="22"/>
        </w:rPr>
        <w:t>72.000</w:t>
      </w:r>
      <w:r w:rsidRPr="00262F5B">
        <w:rPr>
          <w:szCs w:val="22"/>
        </w:rPr>
        <w:t xml:space="preserve"> Ft.</w:t>
      </w:r>
    </w:p>
    <w:p w14:paraId="4392EAFD" w14:textId="27472CB9" w:rsidR="0045185E" w:rsidRPr="00262F5B" w:rsidRDefault="0045185E" w:rsidP="0045185E">
      <w:pPr>
        <w:jc w:val="both"/>
        <w:rPr>
          <w:color w:val="000000"/>
          <w:sz w:val="22"/>
          <w:szCs w:val="22"/>
        </w:rPr>
      </w:pPr>
      <w:r w:rsidRPr="00262F5B">
        <w:rPr>
          <w:color w:val="000000"/>
          <w:sz w:val="22"/>
          <w:szCs w:val="22"/>
        </w:rPr>
        <w:t xml:space="preserve">A Polgári Szociális Központ esetében a szociális étkezők közül térítési </w:t>
      </w:r>
      <w:r w:rsidR="00E56FCF" w:rsidRPr="00262F5B">
        <w:rPr>
          <w:color w:val="000000"/>
          <w:sz w:val="22"/>
          <w:szCs w:val="22"/>
        </w:rPr>
        <w:t>díjkedvezményben</w:t>
      </w:r>
      <w:r w:rsidRPr="00262F5B">
        <w:rPr>
          <w:color w:val="000000"/>
          <w:sz w:val="22"/>
          <w:szCs w:val="22"/>
        </w:rPr>
        <w:t xml:space="preserve"> részesült </w:t>
      </w:r>
      <w:r w:rsidR="008946F8">
        <w:rPr>
          <w:color w:val="000000"/>
          <w:sz w:val="22"/>
          <w:szCs w:val="22"/>
        </w:rPr>
        <w:t>62</w:t>
      </w:r>
      <w:r w:rsidRPr="00262F5B">
        <w:rPr>
          <w:color w:val="000000"/>
          <w:sz w:val="22"/>
          <w:szCs w:val="22"/>
        </w:rPr>
        <w:t xml:space="preserve"> fő, a közvetett támogatás összege </w:t>
      </w:r>
      <w:r w:rsidR="008946F8">
        <w:rPr>
          <w:color w:val="000000"/>
          <w:sz w:val="22"/>
          <w:szCs w:val="22"/>
        </w:rPr>
        <w:t xml:space="preserve">4.768.850 </w:t>
      </w:r>
      <w:r w:rsidRPr="00262F5B">
        <w:rPr>
          <w:color w:val="000000"/>
          <w:sz w:val="22"/>
          <w:szCs w:val="22"/>
        </w:rPr>
        <w:t xml:space="preserve">Ft, a házi segítségnyújtás térítési díjának kedvezménye </w:t>
      </w:r>
      <w:r w:rsidR="008946F8">
        <w:rPr>
          <w:color w:val="000000"/>
          <w:sz w:val="22"/>
          <w:szCs w:val="22"/>
        </w:rPr>
        <w:t>16</w:t>
      </w:r>
      <w:r w:rsidRPr="00262F5B">
        <w:rPr>
          <w:color w:val="000000"/>
          <w:sz w:val="22"/>
          <w:szCs w:val="22"/>
        </w:rPr>
        <w:t xml:space="preserve"> főt érintett,</w:t>
      </w:r>
      <w:r w:rsidR="00542A40">
        <w:rPr>
          <w:color w:val="000000"/>
          <w:sz w:val="22"/>
          <w:szCs w:val="22"/>
        </w:rPr>
        <w:t xml:space="preserve"> </w:t>
      </w:r>
      <w:r w:rsidR="008946F8">
        <w:rPr>
          <w:color w:val="000000"/>
          <w:sz w:val="22"/>
          <w:szCs w:val="22"/>
        </w:rPr>
        <w:t xml:space="preserve">952.500 </w:t>
      </w:r>
      <w:r w:rsidRPr="00262F5B">
        <w:rPr>
          <w:color w:val="000000"/>
          <w:sz w:val="22"/>
          <w:szCs w:val="22"/>
        </w:rPr>
        <w:t>Ft összegben.</w:t>
      </w:r>
    </w:p>
    <w:p w14:paraId="764DCC1D" w14:textId="33636366" w:rsidR="00732A11" w:rsidRPr="00262F5B" w:rsidRDefault="00732A11" w:rsidP="00732A11">
      <w:pPr>
        <w:pStyle w:val="Szvegtrzs3"/>
        <w:jc w:val="both"/>
        <w:rPr>
          <w:color w:val="000000"/>
          <w:szCs w:val="22"/>
        </w:rPr>
      </w:pPr>
      <w:r w:rsidRPr="00262F5B">
        <w:rPr>
          <w:color w:val="000000"/>
          <w:szCs w:val="22"/>
        </w:rPr>
        <w:t xml:space="preserve">A Városgondnokság által végzett étkeztetési tevékenységhez kapcsolódóan az általános iskolai gyermekek közül 50 %-os étkezői támogatásban részesülők száma </w:t>
      </w:r>
      <w:r w:rsidR="00F1474A">
        <w:rPr>
          <w:color w:val="000000"/>
          <w:szCs w:val="22"/>
        </w:rPr>
        <w:t>24</w:t>
      </w:r>
      <w:r w:rsidRPr="00262F5B">
        <w:rPr>
          <w:color w:val="000000"/>
          <w:szCs w:val="22"/>
        </w:rPr>
        <w:t xml:space="preserve"> fő, 100 %-os támogatást </w:t>
      </w:r>
      <w:r w:rsidR="00FF21D6">
        <w:rPr>
          <w:color w:val="000000"/>
          <w:szCs w:val="22"/>
        </w:rPr>
        <w:t>2</w:t>
      </w:r>
      <w:r w:rsidR="00F1474A">
        <w:rPr>
          <w:color w:val="000000"/>
          <w:szCs w:val="22"/>
        </w:rPr>
        <w:t>05</w:t>
      </w:r>
      <w:r w:rsidRPr="00262F5B">
        <w:rPr>
          <w:color w:val="000000"/>
          <w:szCs w:val="22"/>
        </w:rPr>
        <w:t xml:space="preserve"> gyermek kap, ezek közvetett támogatásként kimutatott hatása </w:t>
      </w:r>
      <w:r w:rsidR="00F1474A">
        <w:rPr>
          <w:color w:val="000000"/>
          <w:szCs w:val="22"/>
        </w:rPr>
        <w:t>20.026.198</w:t>
      </w:r>
      <w:r w:rsidRPr="00262F5B">
        <w:rPr>
          <w:color w:val="000000"/>
          <w:szCs w:val="22"/>
        </w:rPr>
        <w:t xml:space="preserve"> Ft. A középiskolai tanulók közül az 50 %-os étkezői támogatásban részesülők száma </w:t>
      </w:r>
      <w:r w:rsidR="00452A21">
        <w:rPr>
          <w:color w:val="000000"/>
          <w:szCs w:val="22"/>
        </w:rPr>
        <w:t>1</w:t>
      </w:r>
      <w:r w:rsidRPr="00262F5B">
        <w:rPr>
          <w:color w:val="000000"/>
          <w:szCs w:val="22"/>
        </w:rPr>
        <w:t xml:space="preserve"> fő, 100%-os kedvezményben részesül </w:t>
      </w:r>
      <w:r w:rsidR="00452A21">
        <w:rPr>
          <w:color w:val="000000"/>
          <w:szCs w:val="22"/>
        </w:rPr>
        <w:t>4</w:t>
      </w:r>
      <w:r w:rsidRPr="00262F5B">
        <w:rPr>
          <w:color w:val="000000"/>
          <w:szCs w:val="22"/>
        </w:rPr>
        <w:t xml:space="preserve"> </w:t>
      </w:r>
      <w:r w:rsidR="00E56FCF" w:rsidRPr="00262F5B">
        <w:rPr>
          <w:color w:val="000000"/>
          <w:szCs w:val="22"/>
        </w:rPr>
        <w:t>fő, a</w:t>
      </w:r>
      <w:r w:rsidRPr="00262F5B">
        <w:rPr>
          <w:color w:val="000000"/>
          <w:szCs w:val="22"/>
        </w:rPr>
        <w:t xml:space="preserve"> közvetett támogatásként kimutatott összeg </w:t>
      </w:r>
      <w:r w:rsidR="00452A21">
        <w:rPr>
          <w:color w:val="000000"/>
          <w:szCs w:val="22"/>
        </w:rPr>
        <w:t>348.901</w:t>
      </w:r>
      <w:r w:rsidRPr="00262F5B">
        <w:rPr>
          <w:color w:val="000000"/>
          <w:szCs w:val="22"/>
        </w:rPr>
        <w:t xml:space="preserve"> Ft.</w:t>
      </w:r>
    </w:p>
    <w:p w14:paraId="219C7D6E" w14:textId="77777777" w:rsidR="00732A11" w:rsidRPr="00262F5B" w:rsidRDefault="00732A11" w:rsidP="00732A11">
      <w:pPr>
        <w:pStyle w:val="Szvegtrzs3"/>
        <w:jc w:val="both"/>
        <w:rPr>
          <w:color w:val="000000"/>
          <w:szCs w:val="22"/>
        </w:rPr>
      </w:pPr>
      <w:r w:rsidRPr="00262F5B">
        <w:rPr>
          <w:color w:val="000000"/>
          <w:szCs w:val="22"/>
        </w:rPr>
        <w:t xml:space="preserve">Az óvodai ellátottak esetében 100 %-os támogatást </w:t>
      </w:r>
      <w:r w:rsidR="00401EBE">
        <w:rPr>
          <w:color w:val="000000"/>
          <w:szCs w:val="22"/>
        </w:rPr>
        <w:t>1</w:t>
      </w:r>
      <w:r w:rsidR="00D76034">
        <w:rPr>
          <w:color w:val="000000"/>
          <w:szCs w:val="22"/>
        </w:rPr>
        <w:t>61</w:t>
      </w:r>
      <w:r w:rsidRPr="00262F5B">
        <w:rPr>
          <w:color w:val="000000"/>
          <w:szCs w:val="22"/>
        </w:rPr>
        <w:t xml:space="preserve"> fő gyermek kap, ezek közvetett támogatásként kimutatott hatása 1</w:t>
      </w:r>
      <w:r w:rsidR="00D76034">
        <w:rPr>
          <w:color w:val="000000"/>
          <w:szCs w:val="22"/>
        </w:rPr>
        <w:t xml:space="preserve">7.228.642 </w:t>
      </w:r>
      <w:r w:rsidRPr="00262F5B">
        <w:rPr>
          <w:color w:val="000000"/>
          <w:szCs w:val="22"/>
        </w:rPr>
        <w:t>Ft.</w:t>
      </w:r>
    </w:p>
    <w:p w14:paraId="0B84B969" w14:textId="77777777" w:rsidR="00732A11" w:rsidRPr="00262F5B" w:rsidRDefault="00732A11" w:rsidP="00732A11">
      <w:pPr>
        <w:pStyle w:val="Szvegtrzs3"/>
        <w:jc w:val="both"/>
        <w:rPr>
          <w:color w:val="000000"/>
          <w:szCs w:val="22"/>
        </w:rPr>
      </w:pPr>
      <w:r w:rsidRPr="00262F5B">
        <w:rPr>
          <w:color w:val="000000"/>
          <w:szCs w:val="22"/>
        </w:rPr>
        <w:t xml:space="preserve">A bölcsődei ellátottak esetében az 100 %-os étkezői támogatásban részesülők száma </w:t>
      </w:r>
      <w:r w:rsidR="005566B7">
        <w:rPr>
          <w:color w:val="000000"/>
          <w:szCs w:val="22"/>
        </w:rPr>
        <w:t>10</w:t>
      </w:r>
      <w:r w:rsidR="008946F8">
        <w:rPr>
          <w:color w:val="000000"/>
          <w:szCs w:val="22"/>
        </w:rPr>
        <w:t xml:space="preserve"> </w:t>
      </w:r>
      <w:r w:rsidRPr="00262F5B">
        <w:rPr>
          <w:color w:val="000000"/>
          <w:szCs w:val="22"/>
        </w:rPr>
        <w:t>fő, közvetet</w:t>
      </w:r>
      <w:r w:rsidR="00D94153">
        <w:rPr>
          <w:color w:val="000000"/>
          <w:szCs w:val="22"/>
        </w:rPr>
        <w:t xml:space="preserve">t </w:t>
      </w:r>
      <w:r w:rsidRPr="00262F5B">
        <w:rPr>
          <w:color w:val="000000"/>
          <w:szCs w:val="22"/>
        </w:rPr>
        <w:t xml:space="preserve">támogatásként jelentkező hatása </w:t>
      </w:r>
      <w:r w:rsidR="00D94153">
        <w:rPr>
          <w:color w:val="000000"/>
          <w:szCs w:val="22"/>
        </w:rPr>
        <w:t>1.139.190</w:t>
      </w:r>
      <w:r w:rsidR="005566B7">
        <w:rPr>
          <w:color w:val="000000"/>
          <w:szCs w:val="22"/>
        </w:rPr>
        <w:t xml:space="preserve"> </w:t>
      </w:r>
      <w:r w:rsidRPr="00262F5B">
        <w:rPr>
          <w:color w:val="000000"/>
          <w:szCs w:val="22"/>
        </w:rPr>
        <w:t xml:space="preserve">Ft. </w:t>
      </w:r>
    </w:p>
    <w:p w14:paraId="7DC99974" w14:textId="77777777" w:rsidR="00732A11" w:rsidRPr="00262F5B" w:rsidRDefault="00732A11" w:rsidP="00732A11">
      <w:pPr>
        <w:pStyle w:val="Szvegtrzs3"/>
        <w:jc w:val="both"/>
        <w:rPr>
          <w:color w:val="000000"/>
          <w:szCs w:val="22"/>
        </w:rPr>
      </w:pPr>
      <w:r w:rsidRPr="00262F5B">
        <w:rPr>
          <w:color w:val="000000"/>
          <w:szCs w:val="22"/>
        </w:rPr>
        <w:t xml:space="preserve">A bölcsődei intézményi térítési díjaknál a közvetett támogatás </w:t>
      </w:r>
      <w:r w:rsidR="008946F8">
        <w:rPr>
          <w:color w:val="000000"/>
          <w:szCs w:val="22"/>
        </w:rPr>
        <w:t>8</w:t>
      </w:r>
      <w:r w:rsidRPr="00262F5B">
        <w:rPr>
          <w:color w:val="000000"/>
          <w:szCs w:val="22"/>
        </w:rPr>
        <w:t xml:space="preserve"> főt érint, összege éves szinten </w:t>
      </w:r>
      <w:r w:rsidR="008946F8">
        <w:rPr>
          <w:color w:val="000000"/>
          <w:szCs w:val="22"/>
        </w:rPr>
        <w:t>117.120</w:t>
      </w:r>
      <w:r w:rsidR="001B7682">
        <w:rPr>
          <w:color w:val="000000"/>
          <w:szCs w:val="22"/>
        </w:rPr>
        <w:t xml:space="preserve"> </w:t>
      </w:r>
      <w:r w:rsidRPr="00262F5B">
        <w:rPr>
          <w:color w:val="000000"/>
          <w:szCs w:val="22"/>
        </w:rPr>
        <w:t>Ft.</w:t>
      </w:r>
    </w:p>
    <w:p w14:paraId="3A10ECB4" w14:textId="77777777" w:rsidR="00732A11" w:rsidRPr="00262F5B" w:rsidRDefault="00732A11" w:rsidP="00732A11">
      <w:pPr>
        <w:pStyle w:val="Szvegtrzs3"/>
        <w:jc w:val="both"/>
        <w:rPr>
          <w:color w:val="000000"/>
          <w:szCs w:val="22"/>
        </w:rPr>
      </w:pPr>
    </w:p>
    <w:p w14:paraId="36558F15" w14:textId="77777777" w:rsidR="00E66F74" w:rsidRDefault="00E66F74" w:rsidP="003B4583">
      <w:pPr>
        <w:pStyle w:val="Szvegtrzs3"/>
        <w:jc w:val="both"/>
        <w:rPr>
          <w:szCs w:val="22"/>
        </w:rPr>
      </w:pPr>
      <w:r>
        <w:rPr>
          <w:szCs w:val="22"/>
        </w:rPr>
        <w:t xml:space="preserve">Az önkormányzat a 2020. év jelentős részében fennálló járványhelyzet mellett is biztosította mind a szociális feladatok, egészségügyi ellátás, a nevelési-oktatási intézmény feladatainak ellátásához kapcsolódóan szükséges pénzügyi és egyéb feltételeket. </w:t>
      </w:r>
    </w:p>
    <w:p w14:paraId="0B5EDC5E" w14:textId="77777777" w:rsidR="00E93171" w:rsidRDefault="00C40743" w:rsidP="003B4583">
      <w:pPr>
        <w:pStyle w:val="Szvegtrzs3"/>
        <w:jc w:val="both"/>
        <w:rPr>
          <w:szCs w:val="22"/>
        </w:rPr>
      </w:pPr>
      <w:r w:rsidRPr="00262F5B">
        <w:rPr>
          <w:szCs w:val="22"/>
        </w:rPr>
        <w:t xml:space="preserve">A </w:t>
      </w:r>
      <w:r w:rsidR="00E93171">
        <w:rPr>
          <w:szCs w:val="22"/>
        </w:rPr>
        <w:t>beszámolóban foglaltak alapján megállapítható, hogy a 20</w:t>
      </w:r>
      <w:r w:rsidR="00E66F74">
        <w:rPr>
          <w:szCs w:val="22"/>
        </w:rPr>
        <w:t>20</w:t>
      </w:r>
      <w:r w:rsidR="00E93171">
        <w:rPr>
          <w:szCs w:val="22"/>
        </w:rPr>
        <w:t xml:space="preserve">. évi költségvetés végrehajtása az évközi előirányzat módosításokon keresztül biztosította az önkormányzat és az intézmények stabil működését egész évben törekedve arra, hogy a lakossági ellátások színvonala a megfelelő szinten biztosított legyen. </w:t>
      </w:r>
    </w:p>
    <w:p w14:paraId="5138BD6A" w14:textId="3337EA0B" w:rsidR="00AA7B42" w:rsidRPr="00CD0E30" w:rsidRDefault="00E93171" w:rsidP="00D67EB7">
      <w:pPr>
        <w:pStyle w:val="Szvegtrzs3"/>
        <w:jc w:val="both"/>
        <w:rPr>
          <w:szCs w:val="22"/>
        </w:rPr>
      </w:pPr>
      <w:r>
        <w:rPr>
          <w:szCs w:val="22"/>
        </w:rPr>
        <w:t xml:space="preserve">A költségvetés elfogadásakor meghatározott irányelvek szerint a takarékossági elveket </w:t>
      </w:r>
      <w:r w:rsidR="00EB02CC" w:rsidRPr="00CD0E30">
        <w:rPr>
          <w:szCs w:val="22"/>
        </w:rPr>
        <w:t>be</w:t>
      </w:r>
      <w:r w:rsidRPr="00CD0E30">
        <w:rPr>
          <w:szCs w:val="22"/>
        </w:rPr>
        <w:t>tartva, a pályázati támogatások nyújtotta lehetőségek maximális kihasználása mellett folyt a 20</w:t>
      </w:r>
      <w:r w:rsidR="00E66F74">
        <w:rPr>
          <w:szCs w:val="22"/>
        </w:rPr>
        <w:t>20</w:t>
      </w:r>
      <w:r w:rsidRPr="00CD0E30">
        <w:rPr>
          <w:szCs w:val="22"/>
        </w:rPr>
        <w:t xml:space="preserve">. </w:t>
      </w:r>
      <w:r w:rsidR="00E56FCF" w:rsidRPr="00CD0E30">
        <w:rPr>
          <w:szCs w:val="22"/>
        </w:rPr>
        <w:t>évi költségvetés</w:t>
      </w:r>
      <w:r w:rsidRPr="00CD0E30">
        <w:rPr>
          <w:szCs w:val="22"/>
        </w:rPr>
        <w:t xml:space="preserve"> végrehajtása. </w:t>
      </w:r>
    </w:p>
    <w:p w14:paraId="08C77F5A" w14:textId="77777777" w:rsidR="00C616B1" w:rsidRPr="00CD0E30" w:rsidRDefault="00E41457" w:rsidP="00D67EB7">
      <w:pPr>
        <w:pStyle w:val="Szvegtrzs3"/>
        <w:jc w:val="both"/>
        <w:rPr>
          <w:szCs w:val="22"/>
        </w:rPr>
      </w:pPr>
      <w:r w:rsidRPr="00CD0E30">
        <w:rPr>
          <w:szCs w:val="22"/>
        </w:rPr>
        <w:t xml:space="preserve"> </w:t>
      </w:r>
    </w:p>
    <w:p w14:paraId="686D4C20" w14:textId="77777777" w:rsidR="00CD0E30" w:rsidRPr="00CD0E30" w:rsidRDefault="00CD0E30" w:rsidP="00CD0E30">
      <w:pPr>
        <w:jc w:val="both"/>
        <w:rPr>
          <w:sz w:val="22"/>
          <w:szCs w:val="22"/>
        </w:rPr>
      </w:pPr>
      <w:r w:rsidRPr="00CD0E30">
        <w:rPr>
          <w:sz w:val="22"/>
          <w:szCs w:val="22"/>
        </w:rPr>
        <w:t xml:space="preserve">Kérem Polgármester Urat, hogy a katasztrófavédelemről és a hozzá kapcsolódó egyes törvények módosításáról szóló 2011. évi CXXVIII. törvény 46. § (4) bekezdése szerinti hatáskörében eljárva és a veszélyhelyzet kihirdetéséről szóló 27/2021. (I. 29.) kormányrendelettel kihirdetetett veszélyhelyzetre tekintettel hozza meg a döntést. </w:t>
      </w:r>
    </w:p>
    <w:p w14:paraId="440E5CD0" w14:textId="77777777" w:rsidR="009F13DA" w:rsidRPr="00CD0E30" w:rsidRDefault="009F13DA" w:rsidP="00D67EB7">
      <w:pPr>
        <w:pStyle w:val="Szvegtrzs3"/>
        <w:jc w:val="both"/>
        <w:rPr>
          <w:szCs w:val="22"/>
        </w:rPr>
      </w:pPr>
    </w:p>
    <w:p w14:paraId="760B74B2" w14:textId="77777777" w:rsidR="00D86005" w:rsidRPr="00262F5B" w:rsidRDefault="00AE4F2A" w:rsidP="00D67EB7">
      <w:pPr>
        <w:spacing w:before="120"/>
        <w:jc w:val="both"/>
        <w:rPr>
          <w:b/>
          <w:sz w:val="22"/>
          <w:szCs w:val="22"/>
        </w:rPr>
      </w:pPr>
      <w:r w:rsidRPr="00262F5B">
        <w:rPr>
          <w:b/>
          <w:sz w:val="22"/>
          <w:szCs w:val="22"/>
        </w:rPr>
        <w:t xml:space="preserve">Polgár, </w:t>
      </w:r>
      <w:r w:rsidR="00E41457">
        <w:rPr>
          <w:b/>
          <w:sz w:val="22"/>
          <w:szCs w:val="22"/>
        </w:rPr>
        <w:t>2021.május 14.</w:t>
      </w:r>
    </w:p>
    <w:p w14:paraId="3088C867" w14:textId="77777777" w:rsidR="009F13DA" w:rsidRDefault="00EA3E5B" w:rsidP="0062019D">
      <w:pPr>
        <w:jc w:val="both"/>
        <w:rPr>
          <w:b/>
          <w:sz w:val="22"/>
          <w:szCs w:val="22"/>
        </w:rPr>
      </w:pPr>
      <w:r w:rsidRPr="00262F5B">
        <w:rPr>
          <w:b/>
          <w:sz w:val="22"/>
          <w:szCs w:val="22"/>
        </w:rPr>
        <w:tab/>
      </w:r>
      <w:r w:rsidRPr="00262F5B">
        <w:rPr>
          <w:b/>
          <w:sz w:val="22"/>
          <w:szCs w:val="22"/>
        </w:rPr>
        <w:tab/>
      </w:r>
      <w:r w:rsidRPr="00262F5B">
        <w:rPr>
          <w:b/>
          <w:sz w:val="22"/>
          <w:szCs w:val="22"/>
        </w:rPr>
        <w:tab/>
      </w:r>
      <w:r w:rsidRPr="00262F5B">
        <w:rPr>
          <w:b/>
          <w:sz w:val="22"/>
          <w:szCs w:val="22"/>
        </w:rPr>
        <w:tab/>
      </w:r>
      <w:r w:rsidRPr="00262F5B">
        <w:rPr>
          <w:b/>
          <w:sz w:val="22"/>
          <w:szCs w:val="22"/>
        </w:rPr>
        <w:tab/>
      </w:r>
    </w:p>
    <w:p w14:paraId="0A7CD516" w14:textId="77777777" w:rsidR="00DD1780" w:rsidRPr="00262F5B" w:rsidRDefault="00EA3E5B" w:rsidP="009F13DA">
      <w:pPr>
        <w:ind w:left="2832" w:firstLine="708"/>
        <w:jc w:val="both"/>
        <w:rPr>
          <w:b/>
          <w:sz w:val="22"/>
          <w:szCs w:val="22"/>
        </w:rPr>
      </w:pPr>
      <w:r w:rsidRPr="00262F5B">
        <w:rPr>
          <w:b/>
          <w:sz w:val="22"/>
          <w:szCs w:val="22"/>
        </w:rPr>
        <w:t xml:space="preserve">Tisztelettel: </w:t>
      </w:r>
      <w:r w:rsidRPr="00262F5B">
        <w:rPr>
          <w:b/>
          <w:sz w:val="22"/>
          <w:szCs w:val="22"/>
        </w:rPr>
        <w:tab/>
      </w:r>
      <w:r w:rsidRPr="00262F5B">
        <w:rPr>
          <w:b/>
          <w:sz w:val="22"/>
          <w:szCs w:val="22"/>
        </w:rPr>
        <w:tab/>
      </w:r>
      <w:r w:rsidRPr="00262F5B">
        <w:rPr>
          <w:b/>
          <w:sz w:val="22"/>
          <w:szCs w:val="22"/>
        </w:rPr>
        <w:tab/>
      </w:r>
    </w:p>
    <w:p w14:paraId="72077346" w14:textId="77777777" w:rsidR="00487F4E" w:rsidRDefault="00E41457" w:rsidP="0062019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dr. Sivák Anita </w:t>
      </w:r>
    </w:p>
    <w:p w14:paraId="22DE2CCF" w14:textId="77777777" w:rsidR="00E41457" w:rsidRPr="00262F5B" w:rsidRDefault="00E41457" w:rsidP="0062019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jegyző</w:t>
      </w:r>
    </w:p>
    <w:sectPr w:rsidR="00E41457" w:rsidRPr="00262F5B" w:rsidSect="00F16F9E">
      <w:headerReference w:type="even" r:id="rId8"/>
      <w:headerReference w:type="default" r:id="rId9"/>
      <w:pgSz w:w="11906" w:h="16838"/>
      <w:pgMar w:top="680" w:right="1418" w:bottom="1843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E321A" w14:textId="77777777" w:rsidR="006B1C2C" w:rsidRDefault="006B1C2C">
      <w:r>
        <w:separator/>
      </w:r>
    </w:p>
  </w:endnote>
  <w:endnote w:type="continuationSeparator" w:id="0">
    <w:p w14:paraId="4DF5BF4D" w14:textId="77777777" w:rsidR="006B1C2C" w:rsidRDefault="006B1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9B5B9" w14:textId="77777777" w:rsidR="006B1C2C" w:rsidRDefault="006B1C2C">
      <w:r>
        <w:separator/>
      </w:r>
    </w:p>
  </w:footnote>
  <w:footnote w:type="continuationSeparator" w:id="0">
    <w:p w14:paraId="2923EC2D" w14:textId="77777777" w:rsidR="006B1C2C" w:rsidRDefault="006B1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0EE65" w14:textId="77777777" w:rsidR="005D2693" w:rsidRDefault="005D269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53673CE" w14:textId="77777777" w:rsidR="005D2693" w:rsidRDefault="005D269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7E9CC" w14:textId="77777777" w:rsidR="005D2693" w:rsidRDefault="005D269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12</w:t>
    </w:r>
    <w:r>
      <w:rPr>
        <w:rStyle w:val="Oldalszm"/>
      </w:rPr>
      <w:fldChar w:fldCharType="end"/>
    </w:r>
  </w:p>
  <w:p w14:paraId="17E10BB5" w14:textId="77777777" w:rsidR="005D2693" w:rsidRDefault="005D269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6D247C0"/>
    <w:multiLevelType w:val="hybridMultilevel"/>
    <w:tmpl w:val="E0B2BBFE"/>
    <w:lvl w:ilvl="0" w:tplc="FA2E6B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44E00"/>
    <w:multiLevelType w:val="hybridMultilevel"/>
    <w:tmpl w:val="CD90B6F0"/>
    <w:lvl w:ilvl="0" w:tplc="1D0014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D592C"/>
    <w:multiLevelType w:val="hybridMultilevel"/>
    <w:tmpl w:val="078A83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E6FC7"/>
    <w:multiLevelType w:val="hybridMultilevel"/>
    <w:tmpl w:val="D3224B34"/>
    <w:lvl w:ilvl="0" w:tplc="7A2081D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6D23155C"/>
    <w:multiLevelType w:val="hybridMultilevel"/>
    <w:tmpl w:val="49C099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275A0"/>
    <w:multiLevelType w:val="hybridMultilevel"/>
    <w:tmpl w:val="B8484CEA"/>
    <w:lvl w:ilvl="0" w:tplc="38440B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EA128B"/>
    <w:multiLevelType w:val="hybridMultilevel"/>
    <w:tmpl w:val="0C708906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27B0C"/>
    <w:multiLevelType w:val="hybridMultilevel"/>
    <w:tmpl w:val="49BC0848"/>
    <w:lvl w:ilvl="0" w:tplc="94E6E2C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C84"/>
    <w:rsid w:val="000007E1"/>
    <w:rsid w:val="0000112A"/>
    <w:rsid w:val="0000487F"/>
    <w:rsid w:val="00004F9A"/>
    <w:rsid w:val="00005F6A"/>
    <w:rsid w:val="0000682B"/>
    <w:rsid w:val="000075E7"/>
    <w:rsid w:val="0000769B"/>
    <w:rsid w:val="000104E5"/>
    <w:rsid w:val="0001139C"/>
    <w:rsid w:val="00011499"/>
    <w:rsid w:val="00012A49"/>
    <w:rsid w:val="00013143"/>
    <w:rsid w:val="000138E0"/>
    <w:rsid w:val="00014D0F"/>
    <w:rsid w:val="00015C58"/>
    <w:rsid w:val="000175E0"/>
    <w:rsid w:val="000202FC"/>
    <w:rsid w:val="00020AAC"/>
    <w:rsid w:val="00020BA3"/>
    <w:rsid w:val="000226ED"/>
    <w:rsid w:val="0002385B"/>
    <w:rsid w:val="0002474E"/>
    <w:rsid w:val="00025A26"/>
    <w:rsid w:val="0002643B"/>
    <w:rsid w:val="00026883"/>
    <w:rsid w:val="00026AC7"/>
    <w:rsid w:val="00030FA7"/>
    <w:rsid w:val="00031687"/>
    <w:rsid w:val="00031CC9"/>
    <w:rsid w:val="0003260A"/>
    <w:rsid w:val="000333EF"/>
    <w:rsid w:val="000338E6"/>
    <w:rsid w:val="0003399F"/>
    <w:rsid w:val="00033A4A"/>
    <w:rsid w:val="00033D12"/>
    <w:rsid w:val="00033D60"/>
    <w:rsid w:val="00034173"/>
    <w:rsid w:val="000344A5"/>
    <w:rsid w:val="00034A40"/>
    <w:rsid w:val="0003525F"/>
    <w:rsid w:val="0003555C"/>
    <w:rsid w:val="00035BBD"/>
    <w:rsid w:val="00035DEA"/>
    <w:rsid w:val="00036022"/>
    <w:rsid w:val="00037EB3"/>
    <w:rsid w:val="00040838"/>
    <w:rsid w:val="00041612"/>
    <w:rsid w:val="0004242A"/>
    <w:rsid w:val="00042D56"/>
    <w:rsid w:val="000444BA"/>
    <w:rsid w:val="00045921"/>
    <w:rsid w:val="000475A3"/>
    <w:rsid w:val="00050103"/>
    <w:rsid w:val="00050AE9"/>
    <w:rsid w:val="00051027"/>
    <w:rsid w:val="00051A1B"/>
    <w:rsid w:val="00053673"/>
    <w:rsid w:val="00053BF8"/>
    <w:rsid w:val="000569F8"/>
    <w:rsid w:val="00056DC2"/>
    <w:rsid w:val="00056FF0"/>
    <w:rsid w:val="000570FE"/>
    <w:rsid w:val="000574FC"/>
    <w:rsid w:val="000600E7"/>
    <w:rsid w:val="00060614"/>
    <w:rsid w:val="00061718"/>
    <w:rsid w:val="00061A87"/>
    <w:rsid w:val="00061C13"/>
    <w:rsid w:val="00062315"/>
    <w:rsid w:val="00062399"/>
    <w:rsid w:val="000633B1"/>
    <w:rsid w:val="00063849"/>
    <w:rsid w:val="00063976"/>
    <w:rsid w:val="00065845"/>
    <w:rsid w:val="00066AB5"/>
    <w:rsid w:val="0006733A"/>
    <w:rsid w:val="000707C6"/>
    <w:rsid w:val="00071483"/>
    <w:rsid w:val="00071653"/>
    <w:rsid w:val="00072EE3"/>
    <w:rsid w:val="00072FE4"/>
    <w:rsid w:val="00073273"/>
    <w:rsid w:val="000735FF"/>
    <w:rsid w:val="00073670"/>
    <w:rsid w:val="00074B60"/>
    <w:rsid w:val="0007529B"/>
    <w:rsid w:val="00076D1F"/>
    <w:rsid w:val="0007702B"/>
    <w:rsid w:val="00080F60"/>
    <w:rsid w:val="000811A4"/>
    <w:rsid w:val="00081F6E"/>
    <w:rsid w:val="000823BE"/>
    <w:rsid w:val="00083DA1"/>
    <w:rsid w:val="00085224"/>
    <w:rsid w:val="00085D83"/>
    <w:rsid w:val="000867C7"/>
    <w:rsid w:val="000873CB"/>
    <w:rsid w:val="0009098F"/>
    <w:rsid w:val="00091475"/>
    <w:rsid w:val="00092BC0"/>
    <w:rsid w:val="000963F5"/>
    <w:rsid w:val="00096E63"/>
    <w:rsid w:val="000A0792"/>
    <w:rsid w:val="000A0B84"/>
    <w:rsid w:val="000A0EE6"/>
    <w:rsid w:val="000A329C"/>
    <w:rsid w:val="000A5659"/>
    <w:rsid w:val="000A5B01"/>
    <w:rsid w:val="000A5B28"/>
    <w:rsid w:val="000A5B9E"/>
    <w:rsid w:val="000A5F8C"/>
    <w:rsid w:val="000A62F8"/>
    <w:rsid w:val="000A66DA"/>
    <w:rsid w:val="000B23F9"/>
    <w:rsid w:val="000B3462"/>
    <w:rsid w:val="000B3C58"/>
    <w:rsid w:val="000B47D5"/>
    <w:rsid w:val="000C0A1B"/>
    <w:rsid w:val="000C14C1"/>
    <w:rsid w:val="000C443C"/>
    <w:rsid w:val="000C63CF"/>
    <w:rsid w:val="000C69A2"/>
    <w:rsid w:val="000C715C"/>
    <w:rsid w:val="000D02BD"/>
    <w:rsid w:val="000D26DE"/>
    <w:rsid w:val="000D3054"/>
    <w:rsid w:val="000D63C1"/>
    <w:rsid w:val="000D65D4"/>
    <w:rsid w:val="000D73CD"/>
    <w:rsid w:val="000E0432"/>
    <w:rsid w:val="000E1617"/>
    <w:rsid w:val="000E1E94"/>
    <w:rsid w:val="000E31AA"/>
    <w:rsid w:val="000E42CF"/>
    <w:rsid w:val="000E4743"/>
    <w:rsid w:val="000E56E5"/>
    <w:rsid w:val="000F0577"/>
    <w:rsid w:val="000F1832"/>
    <w:rsid w:val="000F208E"/>
    <w:rsid w:val="000F3717"/>
    <w:rsid w:val="000F42A1"/>
    <w:rsid w:val="000F5BB3"/>
    <w:rsid w:val="000F6B8D"/>
    <w:rsid w:val="000F7412"/>
    <w:rsid w:val="00100AE8"/>
    <w:rsid w:val="00101BFC"/>
    <w:rsid w:val="00101FD9"/>
    <w:rsid w:val="00103BB1"/>
    <w:rsid w:val="001053F4"/>
    <w:rsid w:val="00106DF5"/>
    <w:rsid w:val="00107FAC"/>
    <w:rsid w:val="00110023"/>
    <w:rsid w:val="00110425"/>
    <w:rsid w:val="00111349"/>
    <w:rsid w:val="001114FA"/>
    <w:rsid w:val="00111C33"/>
    <w:rsid w:val="00111C6E"/>
    <w:rsid w:val="00112AB4"/>
    <w:rsid w:val="00113A2E"/>
    <w:rsid w:val="001159A5"/>
    <w:rsid w:val="00117025"/>
    <w:rsid w:val="0011722F"/>
    <w:rsid w:val="001205F5"/>
    <w:rsid w:val="001208AE"/>
    <w:rsid w:val="001248B4"/>
    <w:rsid w:val="001250DB"/>
    <w:rsid w:val="0012514D"/>
    <w:rsid w:val="00125977"/>
    <w:rsid w:val="00126C15"/>
    <w:rsid w:val="00126FE8"/>
    <w:rsid w:val="00127328"/>
    <w:rsid w:val="00127F94"/>
    <w:rsid w:val="001306C7"/>
    <w:rsid w:val="00132526"/>
    <w:rsid w:val="00132F3E"/>
    <w:rsid w:val="001345FB"/>
    <w:rsid w:val="00134D0D"/>
    <w:rsid w:val="0013594C"/>
    <w:rsid w:val="00136345"/>
    <w:rsid w:val="001369C6"/>
    <w:rsid w:val="00140D84"/>
    <w:rsid w:val="00142C46"/>
    <w:rsid w:val="001430BF"/>
    <w:rsid w:val="00145CC0"/>
    <w:rsid w:val="00147098"/>
    <w:rsid w:val="00147757"/>
    <w:rsid w:val="00155ACB"/>
    <w:rsid w:val="00156CF7"/>
    <w:rsid w:val="001577F1"/>
    <w:rsid w:val="00157809"/>
    <w:rsid w:val="00161084"/>
    <w:rsid w:val="001637C7"/>
    <w:rsid w:val="00163CB7"/>
    <w:rsid w:val="00163CBA"/>
    <w:rsid w:val="00163DE2"/>
    <w:rsid w:val="00163F16"/>
    <w:rsid w:val="00163F20"/>
    <w:rsid w:val="00164645"/>
    <w:rsid w:val="00164721"/>
    <w:rsid w:val="00164C0B"/>
    <w:rsid w:val="0016560C"/>
    <w:rsid w:val="0016614B"/>
    <w:rsid w:val="00167DA9"/>
    <w:rsid w:val="001701D3"/>
    <w:rsid w:val="00170319"/>
    <w:rsid w:val="001723AA"/>
    <w:rsid w:val="0017240D"/>
    <w:rsid w:val="00172FF8"/>
    <w:rsid w:val="00174EB7"/>
    <w:rsid w:val="001759BC"/>
    <w:rsid w:val="00175DD1"/>
    <w:rsid w:val="00177400"/>
    <w:rsid w:val="0017781B"/>
    <w:rsid w:val="0018052A"/>
    <w:rsid w:val="00181292"/>
    <w:rsid w:val="00181AAE"/>
    <w:rsid w:val="00181C9C"/>
    <w:rsid w:val="0018247E"/>
    <w:rsid w:val="001830A3"/>
    <w:rsid w:val="001843D0"/>
    <w:rsid w:val="00184E0A"/>
    <w:rsid w:val="001852C3"/>
    <w:rsid w:val="00186293"/>
    <w:rsid w:val="001865F6"/>
    <w:rsid w:val="00186765"/>
    <w:rsid w:val="00186BE0"/>
    <w:rsid w:val="00187B82"/>
    <w:rsid w:val="00190197"/>
    <w:rsid w:val="00193887"/>
    <w:rsid w:val="00193927"/>
    <w:rsid w:val="00193D91"/>
    <w:rsid w:val="00194815"/>
    <w:rsid w:val="00194CA2"/>
    <w:rsid w:val="00195518"/>
    <w:rsid w:val="001960DF"/>
    <w:rsid w:val="00196B6A"/>
    <w:rsid w:val="001A0043"/>
    <w:rsid w:val="001A197E"/>
    <w:rsid w:val="001A309C"/>
    <w:rsid w:val="001A3B09"/>
    <w:rsid w:val="001A4397"/>
    <w:rsid w:val="001A4681"/>
    <w:rsid w:val="001A4E73"/>
    <w:rsid w:val="001A5CE3"/>
    <w:rsid w:val="001A5FB2"/>
    <w:rsid w:val="001A617F"/>
    <w:rsid w:val="001A7205"/>
    <w:rsid w:val="001B1D4F"/>
    <w:rsid w:val="001B2897"/>
    <w:rsid w:val="001B339B"/>
    <w:rsid w:val="001B3937"/>
    <w:rsid w:val="001B448E"/>
    <w:rsid w:val="001B4B9A"/>
    <w:rsid w:val="001B7682"/>
    <w:rsid w:val="001B77E1"/>
    <w:rsid w:val="001C00A7"/>
    <w:rsid w:val="001C0209"/>
    <w:rsid w:val="001C0593"/>
    <w:rsid w:val="001C2100"/>
    <w:rsid w:val="001C36C2"/>
    <w:rsid w:val="001C3B41"/>
    <w:rsid w:val="001C3D81"/>
    <w:rsid w:val="001C5970"/>
    <w:rsid w:val="001C708C"/>
    <w:rsid w:val="001D05C6"/>
    <w:rsid w:val="001D2C1C"/>
    <w:rsid w:val="001D2C9A"/>
    <w:rsid w:val="001D3868"/>
    <w:rsid w:val="001D452D"/>
    <w:rsid w:val="001D57F7"/>
    <w:rsid w:val="001D6B54"/>
    <w:rsid w:val="001E0DAA"/>
    <w:rsid w:val="001E115C"/>
    <w:rsid w:val="001E18DC"/>
    <w:rsid w:val="001E467F"/>
    <w:rsid w:val="001E5D59"/>
    <w:rsid w:val="001E7855"/>
    <w:rsid w:val="001E7D39"/>
    <w:rsid w:val="001F0533"/>
    <w:rsid w:val="001F10F6"/>
    <w:rsid w:val="001F1DF3"/>
    <w:rsid w:val="001F2A67"/>
    <w:rsid w:val="001F2B16"/>
    <w:rsid w:val="001F7738"/>
    <w:rsid w:val="001F7EDB"/>
    <w:rsid w:val="002003F5"/>
    <w:rsid w:val="00201134"/>
    <w:rsid w:val="00202120"/>
    <w:rsid w:val="00204B7A"/>
    <w:rsid w:val="00204E60"/>
    <w:rsid w:val="00210A13"/>
    <w:rsid w:val="0021202D"/>
    <w:rsid w:val="00213A2F"/>
    <w:rsid w:val="002140D0"/>
    <w:rsid w:val="002141B3"/>
    <w:rsid w:val="002141F1"/>
    <w:rsid w:val="00214C85"/>
    <w:rsid w:val="00217CD9"/>
    <w:rsid w:val="00220D27"/>
    <w:rsid w:val="00220E5F"/>
    <w:rsid w:val="00221C22"/>
    <w:rsid w:val="00222141"/>
    <w:rsid w:val="00222539"/>
    <w:rsid w:val="00222912"/>
    <w:rsid w:val="00222E1E"/>
    <w:rsid w:val="00222E6B"/>
    <w:rsid w:val="00222F25"/>
    <w:rsid w:val="0022315D"/>
    <w:rsid w:val="00223521"/>
    <w:rsid w:val="00223B0B"/>
    <w:rsid w:val="00223B16"/>
    <w:rsid w:val="0022462F"/>
    <w:rsid w:val="002256F0"/>
    <w:rsid w:val="00226357"/>
    <w:rsid w:val="0022753D"/>
    <w:rsid w:val="00230784"/>
    <w:rsid w:val="00230848"/>
    <w:rsid w:val="00230A12"/>
    <w:rsid w:val="00230F56"/>
    <w:rsid w:val="002323C0"/>
    <w:rsid w:val="002339A9"/>
    <w:rsid w:val="00233BE9"/>
    <w:rsid w:val="00233DC2"/>
    <w:rsid w:val="0023477D"/>
    <w:rsid w:val="002355AA"/>
    <w:rsid w:val="0023581D"/>
    <w:rsid w:val="00235FEF"/>
    <w:rsid w:val="00236E45"/>
    <w:rsid w:val="00244EFF"/>
    <w:rsid w:val="00246312"/>
    <w:rsid w:val="0024649E"/>
    <w:rsid w:val="00247903"/>
    <w:rsid w:val="00250ED3"/>
    <w:rsid w:val="00251AA9"/>
    <w:rsid w:val="00252B62"/>
    <w:rsid w:val="00253714"/>
    <w:rsid w:val="00253BA3"/>
    <w:rsid w:val="0025457C"/>
    <w:rsid w:val="00254DC6"/>
    <w:rsid w:val="00255821"/>
    <w:rsid w:val="002561BC"/>
    <w:rsid w:val="00257DA4"/>
    <w:rsid w:val="002606C2"/>
    <w:rsid w:val="00261166"/>
    <w:rsid w:val="002613AE"/>
    <w:rsid w:val="00261EDD"/>
    <w:rsid w:val="00262110"/>
    <w:rsid w:val="00262F5B"/>
    <w:rsid w:val="002637BA"/>
    <w:rsid w:val="002643ED"/>
    <w:rsid w:val="002646E3"/>
    <w:rsid w:val="00264A1E"/>
    <w:rsid w:val="00265159"/>
    <w:rsid w:val="002660E1"/>
    <w:rsid w:val="002673DB"/>
    <w:rsid w:val="00270CF6"/>
    <w:rsid w:val="00271492"/>
    <w:rsid w:val="00271605"/>
    <w:rsid w:val="00271672"/>
    <w:rsid w:val="00272059"/>
    <w:rsid w:val="002737F6"/>
    <w:rsid w:val="00274415"/>
    <w:rsid w:val="00274828"/>
    <w:rsid w:val="00274D60"/>
    <w:rsid w:val="0027638F"/>
    <w:rsid w:val="00276A8E"/>
    <w:rsid w:val="00280104"/>
    <w:rsid w:val="00281B98"/>
    <w:rsid w:val="00282885"/>
    <w:rsid w:val="00282BBA"/>
    <w:rsid w:val="00283803"/>
    <w:rsid w:val="0028697C"/>
    <w:rsid w:val="0029095F"/>
    <w:rsid w:val="00290AA6"/>
    <w:rsid w:val="00292160"/>
    <w:rsid w:val="002923F7"/>
    <w:rsid w:val="00294385"/>
    <w:rsid w:val="0029476B"/>
    <w:rsid w:val="00296842"/>
    <w:rsid w:val="00297A42"/>
    <w:rsid w:val="002A094C"/>
    <w:rsid w:val="002A0B69"/>
    <w:rsid w:val="002A0C10"/>
    <w:rsid w:val="002A31BC"/>
    <w:rsid w:val="002A39D4"/>
    <w:rsid w:val="002A4E39"/>
    <w:rsid w:val="002A5E6E"/>
    <w:rsid w:val="002B1FD3"/>
    <w:rsid w:val="002B376F"/>
    <w:rsid w:val="002B37C3"/>
    <w:rsid w:val="002B3974"/>
    <w:rsid w:val="002B410C"/>
    <w:rsid w:val="002B46F6"/>
    <w:rsid w:val="002B6994"/>
    <w:rsid w:val="002B6F4A"/>
    <w:rsid w:val="002C0D23"/>
    <w:rsid w:val="002C16C8"/>
    <w:rsid w:val="002C22E0"/>
    <w:rsid w:val="002C412C"/>
    <w:rsid w:val="002C445C"/>
    <w:rsid w:val="002C5740"/>
    <w:rsid w:val="002C5781"/>
    <w:rsid w:val="002C639C"/>
    <w:rsid w:val="002C787C"/>
    <w:rsid w:val="002C7EB5"/>
    <w:rsid w:val="002D05AE"/>
    <w:rsid w:val="002D0DA3"/>
    <w:rsid w:val="002D1271"/>
    <w:rsid w:val="002D19CE"/>
    <w:rsid w:val="002D2363"/>
    <w:rsid w:val="002D310C"/>
    <w:rsid w:val="002D336B"/>
    <w:rsid w:val="002D36F4"/>
    <w:rsid w:val="002D5486"/>
    <w:rsid w:val="002D707D"/>
    <w:rsid w:val="002D7573"/>
    <w:rsid w:val="002E0424"/>
    <w:rsid w:val="002E058B"/>
    <w:rsid w:val="002E1658"/>
    <w:rsid w:val="002E1720"/>
    <w:rsid w:val="002E1BED"/>
    <w:rsid w:val="002E1CB2"/>
    <w:rsid w:val="002E30D9"/>
    <w:rsid w:val="002E531B"/>
    <w:rsid w:val="002E594D"/>
    <w:rsid w:val="002E5D35"/>
    <w:rsid w:val="002F130E"/>
    <w:rsid w:val="002F3D20"/>
    <w:rsid w:val="002F52DA"/>
    <w:rsid w:val="002F5B60"/>
    <w:rsid w:val="002F672E"/>
    <w:rsid w:val="002F6CD3"/>
    <w:rsid w:val="0030045B"/>
    <w:rsid w:val="00303742"/>
    <w:rsid w:val="00305491"/>
    <w:rsid w:val="003067F4"/>
    <w:rsid w:val="00306F38"/>
    <w:rsid w:val="00307119"/>
    <w:rsid w:val="00307B6E"/>
    <w:rsid w:val="00307CAA"/>
    <w:rsid w:val="0031000A"/>
    <w:rsid w:val="00311158"/>
    <w:rsid w:val="003114E1"/>
    <w:rsid w:val="003115A8"/>
    <w:rsid w:val="00311F6C"/>
    <w:rsid w:val="00312B8C"/>
    <w:rsid w:val="003137FD"/>
    <w:rsid w:val="00314208"/>
    <w:rsid w:val="00314A4A"/>
    <w:rsid w:val="00314C39"/>
    <w:rsid w:val="00315E1A"/>
    <w:rsid w:val="00316229"/>
    <w:rsid w:val="00316301"/>
    <w:rsid w:val="00316DE9"/>
    <w:rsid w:val="00316E56"/>
    <w:rsid w:val="0032095F"/>
    <w:rsid w:val="00321619"/>
    <w:rsid w:val="00321AC4"/>
    <w:rsid w:val="0032370C"/>
    <w:rsid w:val="00323FB1"/>
    <w:rsid w:val="003241F7"/>
    <w:rsid w:val="00325204"/>
    <w:rsid w:val="00326897"/>
    <w:rsid w:val="003302FA"/>
    <w:rsid w:val="003313BE"/>
    <w:rsid w:val="00334363"/>
    <w:rsid w:val="00335E2D"/>
    <w:rsid w:val="00340B18"/>
    <w:rsid w:val="00341BF9"/>
    <w:rsid w:val="003436BD"/>
    <w:rsid w:val="003442AD"/>
    <w:rsid w:val="00345617"/>
    <w:rsid w:val="003464FD"/>
    <w:rsid w:val="0034752E"/>
    <w:rsid w:val="003519BE"/>
    <w:rsid w:val="00353380"/>
    <w:rsid w:val="00354717"/>
    <w:rsid w:val="00354AFF"/>
    <w:rsid w:val="00355B78"/>
    <w:rsid w:val="00355C1B"/>
    <w:rsid w:val="0035686A"/>
    <w:rsid w:val="00356FF9"/>
    <w:rsid w:val="00357774"/>
    <w:rsid w:val="003606E8"/>
    <w:rsid w:val="00362183"/>
    <w:rsid w:val="00364820"/>
    <w:rsid w:val="00364D74"/>
    <w:rsid w:val="003652D7"/>
    <w:rsid w:val="003652DC"/>
    <w:rsid w:val="003653F8"/>
    <w:rsid w:val="003676ED"/>
    <w:rsid w:val="00367DA3"/>
    <w:rsid w:val="00370913"/>
    <w:rsid w:val="00370B8F"/>
    <w:rsid w:val="00370F5C"/>
    <w:rsid w:val="00370FF9"/>
    <w:rsid w:val="00371075"/>
    <w:rsid w:val="003717B1"/>
    <w:rsid w:val="00373410"/>
    <w:rsid w:val="0037482B"/>
    <w:rsid w:val="003748D8"/>
    <w:rsid w:val="00374C4F"/>
    <w:rsid w:val="003751F2"/>
    <w:rsid w:val="0037647A"/>
    <w:rsid w:val="003769C9"/>
    <w:rsid w:val="00376FA4"/>
    <w:rsid w:val="0037757E"/>
    <w:rsid w:val="00377700"/>
    <w:rsid w:val="00377F01"/>
    <w:rsid w:val="0038061E"/>
    <w:rsid w:val="00381A1A"/>
    <w:rsid w:val="0038383E"/>
    <w:rsid w:val="00384632"/>
    <w:rsid w:val="00384B29"/>
    <w:rsid w:val="00385E91"/>
    <w:rsid w:val="00386900"/>
    <w:rsid w:val="00390421"/>
    <w:rsid w:val="0039176C"/>
    <w:rsid w:val="003928CA"/>
    <w:rsid w:val="003937E2"/>
    <w:rsid w:val="00393CFF"/>
    <w:rsid w:val="00393FAF"/>
    <w:rsid w:val="00395F8D"/>
    <w:rsid w:val="00396A4B"/>
    <w:rsid w:val="003978E6"/>
    <w:rsid w:val="00397A5B"/>
    <w:rsid w:val="003A045E"/>
    <w:rsid w:val="003A0E48"/>
    <w:rsid w:val="003A1206"/>
    <w:rsid w:val="003A2AB1"/>
    <w:rsid w:val="003A3332"/>
    <w:rsid w:val="003A3590"/>
    <w:rsid w:val="003A5781"/>
    <w:rsid w:val="003A61D7"/>
    <w:rsid w:val="003A6283"/>
    <w:rsid w:val="003B0045"/>
    <w:rsid w:val="003B0314"/>
    <w:rsid w:val="003B0CCD"/>
    <w:rsid w:val="003B22E4"/>
    <w:rsid w:val="003B25B4"/>
    <w:rsid w:val="003B4122"/>
    <w:rsid w:val="003B4583"/>
    <w:rsid w:val="003C04CC"/>
    <w:rsid w:val="003C158F"/>
    <w:rsid w:val="003C15C7"/>
    <w:rsid w:val="003C484C"/>
    <w:rsid w:val="003C4FB2"/>
    <w:rsid w:val="003C66E0"/>
    <w:rsid w:val="003C6C81"/>
    <w:rsid w:val="003C6DAC"/>
    <w:rsid w:val="003D1375"/>
    <w:rsid w:val="003D7552"/>
    <w:rsid w:val="003D75DE"/>
    <w:rsid w:val="003E0655"/>
    <w:rsid w:val="003E06A8"/>
    <w:rsid w:val="003E270F"/>
    <w:rsid w:val="003E2FD1"/>
    <w:rsid w:val="003E3EA1"/>
    <w:rsid w:val="003F2686"/>
    <w:rsid w:val="003F2F70"/>
    <w:rsid w:val="003F412D"/>
    <w:rsid w:val="003F43EB"/>
    <w:rsid w:val="003F5A51"/>
    <w:rsid w:val="003F74A2"/>
    <w:rsid w:val="00401C8A"/>
    <w:rsid w:val="00401EBE"/>
    <w:rsid w:val="00402D01"/>
    <w:rsid w:val="004042EC"/>
    <w:rsid w:val="00404DBB"/>
    <w:rsid w:val="00404F5E"/>
    <w:rsid w:val="00406327"/>
    <w:rsid w:val="00406878"/>
    <w:rsid w:val="00406B84"/>
    <w:rsid w:val="00407491"/>
    <w:rsid w:val="00412945"/>
    <w:rsid w:val="00412A05"/>
    <w:rsid w:val="00412AC5"/>
    <w:rsid w:val="00412D5D"/>
    <w:rsid w:val="0041549C"/>
    <w:rsid w:val="00415673"/>
    <w:rsid w:val="004159A7"/>
    <w:rsid w:val="00416BC6"/>
    <w:rsid w:val="004173F9"/>
    <w:rsid w:val="00420C7C"/>
    <w:rsid w:val="004221A6"/>
    <w:rsid w:val="00423265"/>
    <w:rsid w:val="004250FE"/>
    <w:rsid w:val="00425DD1"/>
    <w:rsid w:val="00426F38"/>
    <w:rsid w:val="00427225"/>
    <w:rsid w:val="00430216"/>
    <w:rsid w:val="00431105"/>
    <w:rsid w:val="004318EA"/>
    <w:rsid w:val="00432E52"/>
    <w:rsid w:val="00436297"/>
    <w:rsid w:val="00436DF7"/>
    <w:rsid w:val="0043733B"/>
    <w:rsid w:val="004379DB"/>
    <w:rsid w:val="00442B24"/>
    <w:rsid w:val="00446EF1"/>
    <w:rsid w:val="00446F0F"/>
    <w:rsid w:val="0045185E"/>
    <w:rsid w:val="004519DA"/>
    <w:rsid w:val="00451DA9"/>
    <w:rsid w:val="00452A21"/>
    <w:rsid w:val="00454406"/>
    <w:rsid w:val="00455A14"/>
    <w:rsid w:val="00455AA2"/>
    <w:rsid w:val="0045615E"/>
    <w:rsid w:val="00457B47"/>
    <w:rsid w:val="0046104C"/>
    <w:rsid w:val="0046284C"/>
    <w:rsid w:val="004641CB"/>
    <w:rsid w:val="0046527D"/>
    <w:rsid w:val="00465E5F"/>
    <w:rsid w:val="00467AFC"/>
    <w:rsid w:val="00467CA4"/>
    <w:rsid w:val="00467F7E"/>
    <w:rsid w:val="0047292C"/>
    <w:rsid w:val="00472E28"/>
    <w:rsid w:val="0048022D"/>
    <w:rsid w:val="004819C6"/>
    <w:rsid w:val="00482357"/>
    <w:rsid w:val="004837A8"/>
    <w:rsid w:val="00484AE7"/>
    <w:rsid w:val="00485205"/>
    <w:rsid w:val="0048596D"/>
    <w:rsid w:val="00485D82"/>
    <w:rsid w:val="0048693C"/>
    <w:rsid w:val="00487261"/>
    <w:rsid w:val="00487F4E"/>
    <w:rsid w:val="00490770"/>
    <w:rsid w:val="00492E12"/>
    <w:rsid w:val="00494377"/>
    <w:rsid w:val="004946DA"/>
    <w:rsid w:val="00495569"/>
    <w:rsid w:val="00496A84"/>
    <w:rsid w:val="004970D6"/>
    <w:rsid w:val="004973B5"/>
    <w:rsid w:val="004A264F"/>
    <w:rsid w:val="004A3D60"/>
    <w:rsid w:val="004A59F7"/>
    <w:rsid w:val="004A5E47"/>
    <w:rsid w:val="004A6360"/>
    <w:rsid w:val="004B0C0A"/>
    <w:rsid w:val="004B1159"/>
    <w:rsid w:val="004B226A"/>
    <w:rsid w:val="004B2819"/>
    <w:rsid w:val="004B64CE"/>
    <w:rsid w:val="004B6862"/>
    <w:rsid w:val="004B7296"/>
    <w:rsid w:val="004B7F8E"/>
    <w:rsid w:val="004C0072"/>
    <w:rsid w:val="004C12DD"/>
    <w:rsid w:val="004C16BC"/>
    <w:rsid w:val="004C1FF4"/>
    <w:rsid w:val="004C216C"/>
    <w:rsid w:val="004C262E"/>
    <w:rsid w:val="004C39D6"/>
    <w:rsid w:val="004C404C"/>
    <w:rsid w:val="004C4D45"/>
    <w:rsid w:val="004C630A"/>
    <w:rsid w:val="004C6F38"/>
    <w:rsid w:val="004C719E"/>
    <w:rsid w:val="004C71F2"/>
    <w:rsid w:val="004C7FD6"/>
    <w:rsid w:val="004D0801"/>
    <w:rsid w:val="004D0B9F"/>
    <w:rsid w:val="004D1E22"/>
    <w:rsid w:val="004D25DA"/>
    <w:rsid w:val="004D279C"/>
    <w:rsid w:val="004D337B"/>
    <w:rsid w:val="004D37A3"/>
    <w:rsid w:val="004D397A"/>
    <w:rsid w:val="004D3A72"/>
    <w:rsid w:val="004D3C46"/>
    <w:rsid w:val="004D4259"/>
    <w:rsid w:val="004D4952"/>
    <w:rsid w:val="004D4DA3"/>
    <w:rsid w:val="004D5086"/>
    <w:rsid w:val="004D5D6B"/>
    <w:rsid w:val="004D7AA1"/>
    <w:rsid w:val="004E0831"/>
    <w:rsid w:val="004E279C"/>
    <w:rsid w:val="004E2C08"/>
    <w:rsid w:val="004E2E12"/>
    <w:rsid w:val="004E3C14"/>
    <w:rsid w:val="004E5596"/>
    <w:rsid w:val="004E66E6"/>
    <w:rsid w:val="004E6B07"/>
    <w:rsid w:val="004E6DAA"/>
    <w:rsid w:val="004E7B83"/>
    <w:rsid w:val="004E7DF4"/>
    <w:rsid w:val="004F0401"/>
    <w:rsid w:val="004F0E67"/>
    <w:rsid w:val="004F402C"/>
    <w:rsid w:val="004F4102"/>
    <w:rsid w:val="004F4395"/>
    <w:rsid w:val="004F47C5"/>
    <w:rsid w:val="004F7666"/>
    <w:rsid w:val="00501169"/>
    <w:rsid w:val="00503197"/>
    <w:rsid w:val="0050324A"/>
    <w:rsid w:val="00503659"/>
    <w:rsid w:val="005038E4"/>
    <w:rsid w:val="00503B32"/>
    <w:rsid w:val="00503F56"/>
    <w:rsid w:val="00504EDF"/>
    <w:rsid w:val="00507C04"/>
    <w:rsid w:val="00511475"/>
    <w:rsid w:val="00511B5C"/>
    <w:rsid w:val="00512B3C"/>
    <w:rsid w:val="00513281"/>
    <w:rsid w:val="0051342B"/>
    <w:rsid w:val="00513692"/>
    <w:rsid w:val="005151A5"/>
    <w:rsid w:val="00515825"/>
    <w:rsid w:val="00515E04"/>
    <w:rsid w:val="00515E68"/>
    <w:rsid w:val="00520617"/>
    <w:rsid w:val="00521351"/>
    <w:rsid w:val="005217D7"/>
    <w:rsid w:val="00524AF5"/>
    <w:rsid w:val="00525305"/>
    <w:rsid w:val="0052663F"/>
    <w:rsid w:val="00530364"/>
    <w:rsid w:val="00530BCE"/>
    <w:rsid w:val="00533A4C"/>
    <w:rsid w:val="00534187"/>
    <w:rsid w:val="00536E36"/>
    <w:rsid w:val="005373FE"/>
    <w:rsid w:val="00537F3C"/>
    <w:rsid w:val="00541035"/>
    <w:rsid w:val="00541395"/>
    <w:rsid w:val="0054153D"/>
    <w:rsid w:val="00542937"/>
    <w:rsid w:val="00542A40"/>
    <w:rsid w:val="00544FA6"/>
    <w:rsid w:val="0054500A"/>
    <w:rsid w:val="00545B7B"/>
    <w:rsid w:val="00545B96"/>
    <w:rsid w:val="00546163"/>
    <w:rsid w:val="0054617A"/>
    <w:rsid w:val="005463F0"/>
    <w:rsid w:val="0055024A"/>
    <w:rsid w:val="0055165F"/>
    <w:rsid w:val="00551C4B"/>
    <w:rsid w:val="00552CB2"/>
    <w:rsid w:val="00552CF4"/>
    <w:rsid w:val="0055310C"/>
    <w:rsid w:val="00553B7C"/>
    <w:rsid w:val="00553C7A"/>
    <w:rsid w:val="00555FEC"/>
    <w:rsid w:val="005565DF"/>
    <w:rsid w:val="005566B7"/>
    <w:rsid w:val="00562D73"/>
    <w:rsid w:val="00562E1E"/>
    <w:rsid w:val="0056312C"/>
    <w:rsid w:val="005654F5"/>
    <w:rsid w:val="00565B8E"/>
    <w:rsid w:val="00570605"/>
    <w:rsid w:val="00571592"/>
    <w:rsid w:val="005720CE"/>
    <w:rsid w:val="00572379"/>
    <w:rsid w:val="00572B45"/>
    <w:rsid w:val="00572E4C"/>
    <w:rsid w:val="00574209"/>
    <w:rsid w:val="00574311"/>
    <w:rsid w:val="00574CD6"/>
    <w:rsid w:val="00574D50"/>
    <w:rsid w:val="00576289"/>
    <w:rsid w:val="00576565"/>
    <w:rsid w:val="00576E17"/>
    <w:rsid w:val="00577FF5"/>
    <w:rsid w:val="00580392"/>
    <w:rsid w:val="00582112"/>
    <w:rsid w:val="0058305F"/>
    <w:rsid w:val="00585153"/>
    <w:rsid w:val="00585C3D"/>
    <w:rsid w:val="0058612C"/>
    <w:rsid w:val="00587B8F"/>
    <w:rsid w:val="00590352"/>
    <w:rsid w:val="00590B3C"/>
    <w:rsid w:val="00590FF1"/>
    <w:rsid w:val="00591350"/>
    <w:rsid w:val="0059265A"/>
    <w:rsid w:val="00592788"/>
    <w:rsid w:val="00593052"/>
    <w:rsid w:val="0059314A"/>
    <w:rsid w:val="00594C7C"/>
    <w:rsid w:val="0059625B"/>
    <w:rsid w:val="00597430"/>
    <w:rsid w:val="005A36A7"/>
    <w:rsid w:val="005A3D0B"/>
    <w:rsid w:val="005A3F84"/>
    <w:rsid w:val="005A3FCA"/>
    <w:rsid w:val="005A5262"/>
    <w:rsid w:val="005A6136"/>
    <w:rsid w:val="005A695E"/>
    <w:rsid w:val="005A6E4D"/>
    <w:rsid w:val="005A7482"/>
    <w:rsid w:val="005B09EF"/>
    <w:rsid w:val="005B1878"/>
    <w:rsid w:val="005B347C"/>
    <w:rsid w:val="005B36EE"/>
    <w:rsid w:val="005B3D15"/>
    <w:rsid w:val="005B46F6"/>
    <w:rsid w:val="005B51EE"/>
    <w:rsid w:val="005B5386"/>
    <w:rsid w:val="005B6D54"/>
    <w:rsid w:val="005B7038"/>
    <w:rsid w:val="005B792E"/>
    <w:rsid w:val="005C05E1"/>
    <w:rsid w:val="005C10EF"/>
    <w:rsid w:val="005C30CD"/>
    <w:rsid w:val="005C30F1"/>
    <w:rsid w:val="005C3FE2"/>
    <w:rsid w:val="005C51B1"/>
    <w:rsid w:val="005C6E16"/>
    <w:rsid w:val="005C6E3F"/>
    <w:rsid w:val="005C7D95"/>
    <w:rsid w:val="005C7DC5"/>
    <w:rsid w:val="005D0697"/>
    <w:rsid w:val="005D0A15"/>
    <w:rsid w:val="005D0AA9"/>
    <w:rsid w:val="005D10F8"/>
    <w:rsid w:val="005D2693"/>
    <w:rsid w:val="005D3825"/>
    <w:rsid w:val="005D38C0"/>
    <w:rsid w:val="005D48BD"/>
    <w:rsid w:val="005D53B8"/>
    <w:rsid w:val="005D6325"/>
    <w:rsid w:val="005D6C89"/>
    <w:rsid w:val="005E0993"/>
    <w:rsid w:val="005E24FF"/>
    <w:rsid w:val="005E3E24"/>
    <w:rsid w:val="005E432B"/>
    <w:rsid w:val="005E4860"/>
    <w:rsid w:val="005E4A31"/>
    <w:rsid w:val="005E4B86"/>
    <w:rsid w:val="005E6359"/>
    <w:rsid w:val="005E6F96"/>
    <w:rsid w:val="005F2DE7"/>
    <w:rsid w:val="005F3A6D"/>
    <w:rsid w:val="005F43E4"/>
    <w:rsid w:val="005F5B96"/>
    <w:rsid w:val="005F722B"/>
    <w:rsid w:val="006004A9"/>
    <w:rsid w:val="0060072B"/>
    <w:rsid w:val="0060193E"/>
    <w:rsid w:val="0060267F"/>
    <w:rsid w:val="0060290A"/>
    <w:rsid w:val="00602B84"/>
    <w:rsid w:val="00602DD9"/>
    <w:rsid w:val="00603EBC"/>
    <w:rsid w:val="00605CF3"/>
    <w:rsid w:val="00606C55"/>
    <w:rsid w:val="006070C4"/>
    <w:rsid w:val="006074CA"/>
    <w:rsid w:val="0061056C"/>
    <w:rsid w:val="00610CA6"/>
    <w:rsid w:val="00611B2B"/>
    <w:rsid w:val="00612AEA"/>
    <w:rsid w:val="00612C73"/>
    <w:rsid w:val="00613F31"/>
    <w:rsid w:val="0061459D"/>
    <w:rsid w:val="006150AF"/>
    <w:rsid w:val="006161D3"/>
    <w:rsid w:val="0062019D"/>
    <w:rsid w:val="00621041"/>
    <w:rsid w:val="00622AC6"/>
    <w:rsid w:val="0062390A"/>
    <w:rsid w:val="00623C30"/>
    <w:rsid w:val="00624146"/>
    <w:rsid w:val="00624531"/>
    <w:rsid w:val="00625DA0"/>
    <w:rsid w:val="00626042"/>
    <w:rsid w:val="00630C17"/>
    <w:rsid w:val="006310F8"/>
    <w:rsid w:val="00631A70"/>
    <w:rsid w:val="0063216A"/>
    <w:rsid w:val="006324DA"/>
    <w:rsid w:val="00632E09"/>
    <w:rsid w:val="006333BA"/>
    <w:rsid w:val="00633663"/>
    <w:rsid w:val="00636402"/>
    <w:rsid w:val="00637773"/>
    <w:rsid w:val="00637E91"/>
    <w:rsid w:val="00637FD0"/>
    <w:rsid w:val="00640A6D"/>
    <w:rsid w:val="00640EF7"/>
    <w:rsid w:val="00640F99"/>
    <w:rsid w:val="00643F6E"/>
    <w:rsid w:val="00644AD4"/>
    <w:rsid w:val="00644B3B"/>
    <w:rsid w:val="00645A6B"/>
    <w:rsid w:val="00646053"/>
    <w:rsid w:val="0064633D"/>
    <w:rsid w:val="00647089"/>
    <w:rsid w:val="006504FA"/>
    <w:rsid w:val="00650DF3"/>
    <w:rsid w:val="00651899"/>
    <w:rsid w:val="0065424C"/>
    <w:rsid w:val="006542BA"/>
    <w:rsid w:val="00656D79"/>
    <w:rsid w:val="00660B36"/>
    <w:rsid w:val="006619BB"/>
    <w:rsid w:val="00662289"/>
    <w:rsid w:val="0066235C"/>
    <w:rsid w:val="00662475"/>
    <w:rsid w:val="00663414"/>
    <w:rsid w:val="00666C42"/>
    <w:rsid w:val="006702EC"/>
    <w:rsid w:val="00672197"/>
    <w:rsid w:val="00674614"/>
    <w:rsid w:val="00675FAF"/>
    <w:rsid w:val="006761DF"/>
    <w:rsid w:val="00676B74"/>
    <w:rsid w:val="006777D5"/>
    <w:rsid w:val="006811D2"/>
    <w:rsid w:val="0068244E"/>
    <w:rsid w:val="00682DC6"/>
    <w:rsid w:val="00683D2B"/>
    <w:rsid w:val="00684DB9"/>
    <w:rsid w:val="00685281"/>
    <w:rsid w:val="006854A3"/>
    <w:rsid w:val="00686FFB"/>
    <w:rsid w:val="006875E6"/>
    <w:rsid w:val="00687732"/>
    <w:rsid w:val="00687A3D"/>
    <w:rsid w:val="00687A7C"/>
    <w:rsid w:val="00687AE3"/>
    <w:rsid w:val="006901C5"/>
    <w:rsid w:val="006904F9"/>
    <w:rsid w:val="00691096"/>
    <w:rsid w:val="00692B48"/>
    <w:rsid w:val="0069496E"/>
    <w:rsid w:val="00697CE6"/>
    <w:rsid w:val="006A06A6"/>
    <w:rsid w:val="006A1D66"/>
    <w:rsid w:val="006A373C"/>
    <w:rsid w:val="006A3A6D"/>
    <w:rsid w:val="006A3C78"/>
    <w:rsid w:val="006A4089"/>
    <w:rsid w:val="006A413C"/>
    <w:rsid w:val="006A4A54"/>
    <w:rsid w:val="006A5A40"/>
    <w:rsid w:val="006A5B35"/>
    <w:rsid w:val="006A5B4D"/>
    <w:rsid w:val="006A5CC7"/>
    <w:rsid w:val="006A63DE"/>
    <w:rsid w:val="006A64E1"/>
    <w:rsid w:val="006B0513"/>
    <w:rsid w:val="006B1C2C"/>
    <w:rsid w:val="006B204A"/>
    <w:rsid w:val="006B37FB"/>
    <w:rsid w:val="006B3DFB"/>
    <w:rsid w:val="006B3EE4"/>
    <w:rsid w:val="006B415B"/>
    <w:rsid w:val="006B417D"/>
    <w:rsid w:val="006B451D"/>
    <w:rsid w:val="006B48D8"/>
    <w:rsid w:val="006B55A7"/>
    <w:rsid w:val="006B7B74"/>
    <w:rsid w:val="006B7E2D"/>
    <w:rsid w:val="006C27C2"/>
    <w:rsid w:val="006C35F4"/>
    <w:rsid w:val="006C50E7"/>
    <w:rsid w:val="006C6EB6"/>
    <w:rsid w:val="006C72AC"/>
    <w:rsid w:val="006D11FB"/>
    <w:rsid w:val="006D23FF"/>
    <w:rsid w:val="006D2F67"/>
    <w:rsid w:val="006D50D6"/>
    <w:rsid w:val="006D5959"/>
    <w:rsid w:val="006D7DA7"/>
    <w:rsid w:val="006E1FE2"/>
    <w:rsid w:val="006E26BB"/>
    <w:rsid w:val="006E3E36"/>
    <w:rsid w:val="006E474B"/>
    <w:rsid w:val="006E5368"/>
    <w:rsid w:val="006E6272"/>
    <w:rsid w:val="006F0134"/>
    <w:rsid w:val="006F11BD"/>
    <w:rsid w:val="006F13D0"/>
    <w:rsid w:val="006F2554"/>
    <w:rsid w:val="006F2D6B"/>
    <w:rsid w:val="006F31B1"/>
    <w:rsid w:val="006F4F65"/>
    <w:rsid w:val="006F7483"/>
    <w:rsid w:val="006F7B6D"/>
    <w:rsid w:val="00701837"/>
    <w:rsid w:val="007024C7"/>
    <w:rsid w:val="0070306A"/>
    <w:rsid w:val="00703F8F"/>
    <w:rsid w:val="007047B4"/>
    <w:rsid w:val="00704E67"/>
    <w:rsid w:val="00705B79"/>
    <w:rsid w:val="007066B7"/>
    <w:rsid w:val="00706CED"/>
    <w:rsid w:val="0070763B"/>
    <w:rsid w:val="00707745"/>
    <w:rsid w:val="007112E3"/>
    <w:rsid w:val="00712472"/>
    <w:rsid w:val="00713C52"/>
    <w:rsid w:val="0071445F"/>
    <w:rsid w:val="00715ED5"/>
    <w:rsid w:val="00716694"/>
    <w:rsid w:val="007201C5"/>
    <w:rsid w:val="007209BD"/>
    <w:rsid w:val="00721267"/>
    <w:rsid w:val="0072181C"/>
    <w:rsid w:val="00723D22"/>
    <w:rsid w:val="00724976"/>
    <w:rsid w:val="00724AAB"/>
    <w:rsid w:val="007251E2"/>
    <w:rsid w:val="007258B4"/>
    <w:rsid w:val="00725FF5"/>
    <w:rsid w:val="007300EC"/>
    <w:rsid w:val="00732388"/>
    <w:rsid w:val="00732A11"/>
    <w:rsid w:val="00732CB0"/>
    <w:rsid w:val="00733CCD"/>
    <w:rsid w:val="00734A21"/>
    <w:rsid w:val="00734ABF"/>
    <w:rsid w:val="00735445"/>
    <w:rsid w:val="0073651D"/>
    <w:rsid w:val="007373A4"/>
    <w:rsid w:val="0073740B"/>
    <w:rsid w:val="00737DF0"/>
    <w:rsid w:val="00740329"/>
    <w:rsid w:val="007415CC"/>
    <w:rsid w:val="00741ACB"/>
    <w:rsid w:val="00741C30"/>
    <w:rsid w:val="0074242B"/>
    <w:rsid w:val="00744C6E"/>
    <w:rsid w:val="00745CD8"/>
    <w:rsid w:val="00746210"/>
    <w:rsid w:val="00746684"/>
    <w:rsid w:val="007467E7"/>
    <w:rsid w:val="007467FA"/>
    <w:rsid w:val="00747317"/>
    <w:rsid w:val="00747735"/>
    <w:rsid w:val="00747EF9"/>
    <w:rsid w:val="0075046C"/>
    <w:rsid w:val="007512C2"/>
    <w:rsid w:val="00751687"/>
    <w:rsid w:val="00754750"/>
    <w:rsid w:val="00755504"/>
    <w:rsid w:val="0075624D"/>
    <w:rsid w:val="007604C9"/>
    <w:rsid w:val="00760A16"/>
    <w:rsid w:val="00761518"/>
    <w:rsid w:val="00762390"/>
    <w:rsid w:val="00763007"/>
    <w:rsid w:val="00767798"/>
    <w:rsid w:val="007708A9"/>
    <w:rsid w:val="007725AD"/>
    <w:rsid w:val="00773F0E"/>
    <w:rsid w:val="00774751"/>
    <w:rsid w:val="007748DA"/>
    <w:rsid w:val="00774D59"/>
    <w:rsid w:val="00774E38"/>
    <w:rsid w:val="0077531E"/>
    <w:rsid w:val="007754B7"/>
    <w:rsid w:val="0077726A"/>
    <w:rsid w:val="007807B2"/>
    <w:rsid w:val="007809F0"/>
    <w:rsid w:val="007819C3"/>
    <w:rsid w:val="00781B3E"/>
    <w:rsid w:val="00782D20"/>
    <w:rsid w:val="00783FB0"/>
    <w:rsid w:val="007858E3"/>
    <w:rsid w:val="00785EFE"/>
    <w:rsid w:val="00786079"/>
    <w:rsid w:val="00787393"/>
    <w:rsid w:val="00787A9B"/>
    <w:rsid w:val="00790687"/>
    <w:rsid w:val="00790A47"/>
    <w:rsid w:val="00790BBB"/>
    <w:rsid w:val="00790F2F"/>
    <w:rsid w:val="007922BB"/>
    <w:rsid w:val="00794621"/>
    <w:rsid w:val="00794EDD"/>
    <w:rsid w:val="00797463"/>
    <w:rsid w:val="007A059D"/>
    <w:rsid w:val="007A1185"/>
    <w:rsid w:val="007A154A"/>
    <w:rsid w:val="007A1A16"/>
    <w:rsid w:val="007A2B15"/>
    <w:rsid w:val="007A3650"/>
    <w:rsid w:val="007A3E33"/>
    <w:rsid w:val="007A759F"/>
    <w:rsid w:val="007B0044"/>
    <w:rsid w:val="007B14DA"/>
    <w:rsid w:val="007B3BC4"/>
    <w:rsid w:val="007B58C7"/>
    <w:rsid w:val="007B5FC3"/>
    <w:rsid w:val="007B6880"/>
    <w:rsid w:val="007B6932"/>
    <w:rsid w:val="007B6A2E"/>
    <w:rsid w:val="007B6A7C"/>
    <w:rsid w:val="007B6CA7"/>
    <w:rsid w:val="007C313C"/>
    <w:rsid w:val="007C5108"/>
    <w:rsid w:val="007C688F"/>
    <w:rsid w:val="007C7402"/>
    <w:rsid w:val="007D1303"/>
    <w:rsid w:val="007D1A31"/>
    <w:rsid w:val="007D296C"/>
    <w:rsid w:val="007D3B6A"/>
    <w:rsid w:val="007D48AC"/>
    <w:rsid w:val="007D5928"/>
    <w:rsid w:val="007D6EB9"/>
    <w:rsid w:val="007D7BA2"/>
    <w:rsid w:val="007E29E2"/>
    <w:rsid w:val="007E3268"/>
    <w:rsid w:val="007E3384"/>
    <w:rsid w:val="007E53C5"/>
    <w:rsid w:val="007E6DEF"/>
    <w:rsid w:val="007E77D2"/>
    <w:rsid w:val="007F1C07"/>
    <w:rsid w:val="007F2352"/>
    <w:rsid w:val="007F241B"/>
    <w:rsid w:val="007F29D3"/>
    <w:rsid w:val="007F33EB"/>
    <w:rsid w:val="007F3C54"/>
    <w:rsid w:val="007F44D0"/>
    <w:rsid w:val="007F5BAD"/>
    <w:rsid w:val="007F63A6"/>
    <w:rsid w:val="007F657D"/>
    <w:rsid w:val="007F6A29"/>
    <w:rsid w:val="00800398"/>
    <w:rsid w:val="00800DDA"/>
    <w:rsid w:val="00800EAF"/>
    <w:rsid w:val="008014F5"/>
    <w:rsid w:val="00801931"/>
    <w:rsid w:val="0080260F"/>
    <w:rsid w:val="00807088"/>
    <w:rsid w:val="008147EC"/>
    <w:rsid w:val="008153B0"/>
    <w:rsid w:val="0081550A"/>
    <w:rsid w:val="00815A16"/>
    <w:rsid w:val="00815A28"/>
    <w:rsid w:val="00815C8C"/>
    <w:rsid w:val="00820FF4"/>
    <w:rsid w:val="008225FE"/>
    <w:rsid w:val="00823A9E"/>
    <w:rsid w:val="00824DA7"/>
    <w:rsid w:val="00826927"/>
    <w:rsid w:val="00826C3E"/>
    <w:rsid w:val="008279AD"/>
    <w:rsid w:val="00827DA6"/>
    <w:rsid w:val="008304D6"/>
    <w:rsid w:val="0083099A"/>
    <w:rsid w:val="00830FD5"/>
    <w:rsid w:val="0083114A"/>
    <w:rsid w:val="0083168C"/>
    <w:rsid w:val="008341AB"/>
    <w:rsid w:val="00835350"/>
    <w:rsid w:val="008362C4"/>
    <w:rsid w:val="00836AB0"/>
    <w:rsid w:val="00837952"/>
    <w:rsid w:val="00841293"/>
    <w:rsid w:val="00841A50"/>
    <w:rsid w:val="00841CF4"/>
    <w:rsid w:val="00842D6D"/>
    <w:rsid w:val="008437CB"/>
    <w:rsid w:val="00843CE4"/>
    <w:rsid w:val="00845B68"/>
    <w:rsid w:val="008461D9"/>
    <w:rsid w:val="00846FC3"/>
    <w:rsid w:val="0084793E"/>
    <w:rsid w:val="00853894"/>
    <w:rsid w:val="00853A73"/>
    <w:rsid w:val="00853F0E"/>
    <w:rsid w:val="00854774"/>
    <w:rsid w:val="00856371"/>
    <w:rsid w:val="00857692"/>
    <w:rsid w:val="00857D9E"/>
    <w:rsid w:val="008605F0"/>
    <w:rsid w:val="00860EB8"/>
    <w:rsid w:val="00861059"/>
    <w:rsid w:val="00861DA9"/>
    <w:rsid w:val="008622CA"/>
    <w:rsid w:val="00862B6E"/>
    <w:rsid w:val="00862BC4"/>
    <w:rsid w:val="00862DBE"/>
    <w:rsid w:val="00863674"/>
    <w:rsid w:val="00863FF9"/>
    <w:rsid w:val="00864271"/>
    <w:rsid w:val="00864A09"/>
    <w:rsid w:val="00866DEF"/>
    <w:rsid w:val="008674F7"/>
    <w:rsid w:val="00867E7C"/>
    <w:rsid w:val="0087077C"/>
    <w:rsid w:val="00870B26"/>
    <w:rsid w:val="0087127B"/>
    <w:rsid w:val="00871C35"/>
    <w:rsid w:val="00871F6B"/>
    <w:rsid w:val="00872DB1"/>
    <w:rsid w:val="00875FC5"/>
    <w:rsid w:val="00876294"/>
    <w:rsid w:val="00876DB5"/>
    <w:rsid w:val="00877E45"/>
    <w:rsid w:val="00880622"/>
    <w:rsid w:val="00881499"/>
    <w:rsid w:val="008814FE"/>
    <w:rsid w:val="0088369F"/>
    <w:rsid w:val="00886167"/>
    <w:rsid w:val="008877A7"/>
    <w:rsid w:val="008902ED"/>
    <w:rsid w:val="00890F30"/>
    <w:rsid w:val="008911F1"/>
    <w:rsid w:val="00891FA8"/>
    <w:rsid w:val="0089262E"/>
    <w:rsid w:val="0089396F"/>
    <w:rsid w:val="00893A46"/>
    <w:rsid w:val="00894035"/>
    <w:rsid w:val="008946F8"/>
    <w:rsid w:val="0089499B"/>
    <w:rsid w:val="008960C4"/>
    <w:rsid w:val="008A03E0"/>
    <w:rsid w:val="008A0D28"/>
    <w:rsid w:val="008A31F2"/>
    <w:rsid w:val="008A3248"/>
    <w:rsid w:val="008A5550"/>
    <w:rsid w:val="008A564D"/>
    <w:rsid w:val="008B0DC2"/>
    <w:rsid w:val="008B12E9"/>
    <w:rsid w:val="008B154B"/>
    <w:rsid w:val="008B2059"/>
    <w:rsid w:val="008B3527"/>
    <w:rsid w:val="008B37DD"/>
    <w:rsid w:val="008B3F74"/>
    <w:rsid w:val="008B44E3"/>
    <w:rsid w:val="008B4A41"/>
    <w:rsid w:val="008B5F1E"/>
    <w:rsid w:val="008C1E01"/>
    <w:rsid w:val="008C1EB9"/>
    <w:rsid w:val="008C29CA"/>
    <w:rsid w:val="008C2F02"/>
    <w:rsid w:val="008C3E1E"/>
    <w:rsid w:val="008C4B2C"/>
    <w:rsid w:val="008C5002"/>
    <w:rsid w:val="008C51A2"/>
    <w:rsid w:val="008C602E"/>
    <w:rsid w:val="008C72D9"/>
    <w:rsid w:val="008C7E65"/>
    <w:rsid w:val="008C7F7C"/>
    <w:rsid w:val="008D053F"/>
    <w:rsid w:val="008D0B5B"/>
    <w:rsid w:val="008D172E"/>
    <w:rsid w:val="008D2FAA"/>
    <w:rsid w:val="008D3892"/>
    <w:rsid w:val="008D70A3"/>
    <w:rsid w:val="008D7587"/>
    <w:rsid w:val="008E073D"/>
    <w:rsid w:val="008E169A"/>
    <w:rsid w:val="008E3012"/>
    <w:rsid w:val="008E3334"/>
    <w:rsid w:val="008E6251"/>
    <w:rsid w:val="008E67B2"/>
    <w:rsid w:val="008E7B36"/>
    <w:rsid w:val="008F03F6"/>
    <w:rsid w:val="008F0435"/>
    <w:rsid w:val="008F19B9"/>
    <w:rsid w:val="008F1AE3"/>
    <w:rsid w:val="008F1AF3"/>
    <w:rsid w:val="008F1F22"/>
    <w:rsid w:val="008F21F5"/>
    <w:rsid w:val="008F4953"/>
    <w:rsid w:val="008F6191"/>
    <w:rsid w:val="008F7CB0"/>
    <w:rsid w:val="00901654"/>
    <w:rsid w:val="00901A90"/>
    <w:rsid w:val="00903D17"/>
    <w:rsid w:val="00903D3D"/>
    <w:rsid w:val="0090489B"/>
    <w:rsid w:val="00904AAF"/>
    <w:rsid w:val="0090588D"/>
    <w:rsid w:val="00906549"/>
    <w:rsid w:val="00906BEF"/>
    <w:rsid w:val="00907AAC"/>
    <w:rsid w:val="00907B16"/>
    <w:rsid w:val="00910A2B"/>
    <w:rsid w:val="009156A1"/>
    <w:rsid w:val="00916211"/>
    <w:rsid w:val="009172EF"/>
    <w:rsid w:val="00917DF6"/>
    <w:rsid w:val="009210AB"/>
    <w:rsid w:val="00921C76"/>
    <w:rsid w:val="00922776"/>
    <w:rsid w:val="00924202"/>
    <w:rsid w:val="009249C8"/>
    <w:rsid w:val="00924E47"/>
    <w:rsid w:val="00925A18"/>
    <w:rsid w:val="00931452"/>
    <w:rsid w:val="00932757"/>
    <w:rsid w:val="00932BE9"/>
    <w:rsid w:val="00933924"/>
    <w:rsid w:val="0093560B"/>
    <w:rsid w:val="00935EF9"/>
    <w:rsid w:val="0093743F"/>
    <w:rsid w:val="00937480"/>
    <w:rsid w:val="00937C0A"/>
    <w:rsid w:val="009443BD"/>
    <w:rsid w:val="00945D28"/>
    <w:rsid w:val="0094613A"/>
    <w:rsid w:val="00950DD6"/>
    <w:rsid w:val="00951E6D"/>
    <w:rsid w:val="00952160"/>
    <w:rsid w:val="00952652"/>
    <w:rsid w:val="0095311C"/>
    <w:rsid w:val="009567EB"/>
    <w:rsid w:val="00957547"/>
    <w:rsid w:val="00961144"/>
    <w:rsid w:val="00962238"/>
    <w:rsid w:val="00962A83"/>
    <w:rsid w:val="00964D0B"/>
    <w:rsid w:val="00965108"/>
    <w:rsid w:val="0096562F"/>
    <w:rsid w:val="00965FDC"/>
    <w:rsid w:val="00967825"/>
    <w:rsid w:val="00967FB9"/>
    <w:rsid w:val="009731D3"/>
    <w:rsid w:val="00973241"/>
    <w:rsid w:val="00974661"/>
    <w:rsid w:val="009777EA"/>
    <w:rsid w:val="00977A16"/>
    <w:rsid w:val="0098174A"/>
    <w:rsid w:val="0098255A"/>
    <w:rsid w:val="009839FF"/>
    <w:rsid w:val="00984148"/>
    <w:rsid w:val="00984274"/>
    <w:rsid w:val="0098486C"/>
    <w:rsid w:val="009852D0"/>
    <w:rsid w:val="0098641C"/>
    <w:rsid w:val="009872AE"/>
    <w:rsid w:val="0098777C"/>
    <w:rsid w:val="009906F2"/>
    <w:rsid w:val="00994430"/>
    <w:rsid w:val="0099715C"/>
    <w:rsid w:val="009A12FB"/>
    <w:rsid w:val="009A1D3E"/>
    <w:rsid w:val="009A2366"/>
    <w:rsid w:val="009A39A2"/>
    <w:rsid w:val="009A5470"/>
    <w:rsid w:val="009A5B50"/>
    <w:rsid w:val="009A6073"/>
    <w:rsid w:val="009A67C7"/>
    <w:rsid w:val="009A7E4D"/>
    <w:rsid w:val="009B09FF"/>
    <w:rsid w:val="009B0C00"/>
    <w:rsid w:val="009B13B2"/>
    <w:rsid w:val="009B26E4"/>
    <w:rsid w:val="009B3866"/>
    <w:rsid w:val="009B423E"/>
    <w:rsid w:val="009B4367"/>
    <w:rsid w:val="009B49DF"/>
    <w:rsid w:val="009B5875"/>
    <w:rsid w:val="009B7903"/>
    <w:rsid w:val="009C0A51"/>
    <w:rsid w:val="009C3647"/>
    <w:rsid w:val="009C3BAF"/>
    <w:rsid w:val="009C5E24"/>
    <w:rsid w:val="009D2328"/>
    <w:rsid w:val="009D3387"/>
    <w:rsid w:val="009D41CE"/>
    <w:rsid w:val="009D5750"/>
    <w:rsid w:val="009D6BEA"/>
    <w:rsid w:val="009D791B"/>
    <w:rsid w:val="009E0234"/>
    <w:rsid w:val="009E054D"/>
    <w:rsid w:val="009E1B79"/>
    <w:rsid w:val="009E4210"/>
    <w:rsid w:val="009E4825"/>
    <w:rsid w:val="009E4D99"/>
    <w:rsid w:val="009E4EAB"/>
    <w:rsid w:val="009E6007"/>
    <w:rsid w:val="009E6152"/>
    <w:rsid w:val="009E666A"/>
    <w:rsid w:val="009E7407"/>
    <w:rsid w:val="009F13DA"/>
    <w:rsid w:val="009F188C"/>
    <w:rsid w:val="009F26AD"/>
    <w:rsid w:val="009F3658"/>
    <w:rsid w:val="009F4013"/>
    <w:rsid w:val="009F6CCD"/>
    <w:rsid w:val="009F7FB5"/>
    <w:rsid w:val="00A00458"/>
    <w:rsid w:val="00A00C3E"/>
    <w:rsid w:val="00A0140E"/>
    <w:rsid w:val="00A01885"/>
    <w:rsid w:val="00A0211D"/>
    <w:rsid w:val="00A02F2C"/>
    <w:rsid w:val="00A04720"/>
    <w:rsid w:val="00A048C0"/>
    <w:rsid w:val="00A04A91"/>
    <w:rsid w:val="00A0581A"/>
    <w:rsid w:val="00A066BB"/>
    <w:rsid w:val="00A06A1E"/>
    <w:rsid w:val="00A10C6B"/>
    <w:rsid w:val="00A10D8D"/>
    <w:rsid w:val="00A1154C"/>
    <w:rsid w:val="00A129EB"/>
    <w:rsid w:val="00A13CB5"/>
    <w:rsid w:val="00A15050"/>
    <w:rsid w:val="00A15C47"/>
    <w:rsid w:val="00A15CB2"/>
    <w:rsid w:val="00A15E79"/>
    <w:rsid w:val="00A15FB7"/>
    <w:rsid w:val="00A16AA1"/>
    <w:rsid w:val="00A16FE5"/>
    <w:rsid w:val="00A216E0"/>
    <w:rsid w:val="00A222ED"/>
    <w:rsid w:val="00A23018"/>
    <w:rsid w:val="00A23103"/>
    <w:rsid w:val="00A2363B"/>
    <w:rsid w:val="00A243E2"/>
    <w:rsid w:val="00A24BD1"/>
    <w:rsid w:val="00A26536"/>
    <w:rsid w:val="00A268D5"/>
    <w:rsid w:val="00A26C05"/>
    <w:rsid w:val="00A27580"/>
    <w:rsid w:val="00A27A10"/>
    <w:rsid w:val="00A27CA7"/>
    <w:rsid w:val="00A3009F"/>
    <w:rsid w:val="00A3071C"/>
    <w:rsid w:val="00A34868"/>
    <w:rsid w:val="00A35226"/>
    <w:rsid w:val="00A352FC"/>
    <w:rsid w:val="00A35C7C"/>
    <w:rsid w:val="00A35ED0"/>
    <w:rsid w:val="00A35F50"/>
    <w:rsid w:val="00A40A89"/>
    <w:rsid w:val="00A40D72"/>
    <w:rsid w:val="00A421DC"/>
    <w:rsid w:val="00A42729"/>
    <w:rsid w:val="00A42F57"/>
    <w:rsid w:val="00A4503D"/>
    <w:rsid w:val="00A45435"/>
    <w:rsid w:val="00A45D9E"/>
    <w:rsid w:val="00A475C9"/>
    <w:rsid w:val="00A47ED0"/>
    <w:rsid w:val="00A502D2"/>
    <w:rsid w:val="00A504DD"/>
    <w:rsid w:val="00A50FB4"/>
    <w:rsid w:val="00A518DA"/>
    <w:rsid w:val="00A5209B"/>
    <w:rsid w:val="00A5330A"/>
    <w:rsid w:val="00A543C5"/>
    <w:rsid w:val="00A54890"/>
    <w:rsid w:val="00A54E61"/>
    <w:rsid w:val="00A56511"/>
    <w:rsid w:val="00A56A0A"/>
    <w:rsid w:val="00A575B9"/>
    <w:rsid w:val="00A60221"/>
    <w:rsid w:val="00A631B5"/>
    <w:rsid w:val="00A643C0"/>
    <w:rsid w:val="00A65143"/>
    <w:rsid w:val="00A65DB9"/>
    <w:rsid w:val="00A66B9C"/>
    <w:rsid w:val="00A7034C"/>
    <w:rsid w:val="00A705C5"/>
    <w:rsid w:val="00A70ACD"/>
    <w:rsid w:val="00A718FC"/>
    <w:rsid w:val="00A733C2"/>
    <w:rsid w:val="00A7376B"/>
    <w:rsid w:val="00A73B9C"/>
    <w:rsid w:val="00A75596"/>
    <w:rsid w:val="00A75D22"/>
    <w:rsid w:val="00A7635E"/>
    <w:rsid w:val="00A766D2"/>
    <w:rsid w:val="00A808FE"/>
    <w:rsid w:val="00A81EA3"/>
    <w:rsid w:val="00A82408"/>
    <w:rsid w:val="00A82E4E"/>
    <w:rsid w:val="00A82FC1"/>
    <w:rsid w:val="00A83E7B"/>
    <w:rsid w:val="00A84CF1"/>
    <w:rsid w:val="00A85BF5"/>
    <w:rsid w:val="00A8663C"/>
    <w:rsid w:val="00A867ED"/>
    <w:rsid w:val="00A875DD"/>
    <w:rsid w:val="00A90379"/>
    <w:rsid w:val="00A90986"/>
    <w:rsid w:val="00A91B87"/>
    <w:rsid w:val="00A91DB5"/>
    <w:rsid w:val="00A91ED5"/>
    <w:rsid w:val="00A92057"/>
    <w:rsid w:val="00A926D5"/>
    <w:rsid w:val="00A92747"/>
    <w:rsid w:val="00A936F3"/>
    <w:rsid w:val="00A9445B"/>
    <w:rsid w:val="00A94527"/>
    <w:rsid w:val="00A94E9B"/>
    <w:rsid w:val="00A96808"/>
    <w:rsid w:val="00AA05A3"/>
    <w:rsid w:val="00AA1B6C"/>
    <w:rsid w:val="00AA28EF"/>
    <w:rsid w:val="00AA2E1E"/>
    <w:rsid w:val="00AA3398"/>
    <w:rsid w:val="00AA4612"/>
    <w:rsid w:val="00AA4918"/>
    <w:rsid w:val="00AA6059"/>
    <w:rsid w:val="00AA79B4"/>
    <w:rsid w:val="00AA7B42"/>
    <w:rsid w:val="00AB037A"/>
    <w:rsid w:val="00AB1119"/>
    <w:rsid w:val="00AB198A"/>
    <w:rsid w:val="00AB267C"/>
    <w:rsid w:val="00AB3B7B"/>
    <w:rsid w:val="00AB4162"/>
    <w:rsid w:val="00AB5486"/>
    <w:rsid w:val="00AB696D"/>
    <w:rsid w:val="00AB6FB2"/>
    <w:rsid w:val="00AB705B"/>
    <w:rsid w:val="00AB73AD"/>
    <w:rsid w:val="00AC010F"/>
    <w:rsid w:val="00AC025D"/>
    <w:rsid w:val="00AC0979"/>
    <w:rsid w:val="00AC0AA2"/>
    <w:rsid w:val="00AC1DB7"/>
    <w:rsid w:val="00AC2234"/>
    <w:rsid w:val="00AC2E61"/>
    <w:rsid w:val="00AC3FA1"/>
    <w:rsid w:val="00AC4FD3"/>
    <w:rsid w:val="00AC6F28"/>
    <w:rsid w:val="00AD0DDE"/>
    <w:rsid w:val="00AD0E35"/>
    <w:rsid w:val="00AD1CAB"/>
    <w:rsid w:val="00AD32DA"/>
    <w:rsid w:val="00AD39ED"/>
    <w:rsid w:val="00AD409F"/>
    <w:rsid w:val="00AD4A03"/>
    <w:rsid w:val="00AD6225"/>
    <w:rsid w:val="00AD6ECC"/>
    <w:rsid w:val="00AE229B"/>
    <w:rsid w:val="00AE3C20"/>
    <w:rsid w:val="00AE3DE6"/>
    <w:rsid w:val="00AE4F2A"/>
    <w:rsid w:val="00AE64A9"/>
    <w:rsid w:val="00AE6905"/>
    <w:rsid w:val="00AE6EF7"/>
    <w:rsid w:val="00AE776B"/>
    <w:rsid w:val="00AE77B8"/>
    <w:rsid w:val="00AF059E"/>
    <w:rsid w:val="00AF12DF"/>
    <w:rsid w:val="00AF1AF9"/>
    <w:rsid w:val="00AF271E"/>
    <w:rsid w:val="00AF28C2"/>
    <w:rsid w:val="00AF376E"/>
    <w:rsid w:val="00AF4604"/>
    <w:rsid w:val="00AF5073"/>
    <w:rsid w:val="00AF6DEE"/>
    <w:rsid w:val="00AF6FB8"/>
    <w:rsid w:val="00AF71AF"/>
    <w:rsid w:val="00AF79BD"/>
    <w:rsid w:val="00B0004E"/>
    <w:rsid w:val="00B004F5"/>
    <w:rsid w:val="00B00666"/>
    <w:rsid w:val="00B006AD"/>
    <w:rsid w:val="00B013F7"/>
    <w:rsid w:val="00B01633"/>
    <w:rsid w:val="00B01F7F"/>
    <w:rsid w:val="00B03203"/>
    <w:rsid w:val="00B042CD"/>
    <w:rsid w:val="00B052DB"/>
    <w:rsid w:val="00B05E88"/>
    <w:rsid w:val="00B0602D"/>
    <w:rsid w:val="00B0692E"/>
    <w:rsid w:val="00B0728A"/>
    <w:rsid w:val="00B076D9"/>
    <w:rsid w:val="00B111B6"/>
    <w:rsid w:val="00B126B5"/>
    <w:rsid w:val="00B1285E"/>
    <w:rsid w:val="00B129C0"/>
    <w:rsid w:val="00B138FB"/>
    <w:rsid w:val="00B14105"/>
    <w:rsid w:val="00B14F86"/>
    <w:rsid w:val="00B15532"/>
    <w:rsid w:val="00B15CB8"/>
    <w:rsid w:val="00B16137"/>
    <w:rsid w:val="00B1624D"/>
    <w:rsid w:val="00B16332"/>
    <w:rsid w:val="00B17079"/>
    <w:rsid w:val="00B17193"/>
    <w:rsid w:val="00B176A5"/>
    <w:rsid w:val="00B21552"/>
    <w:rsid w:val="00B22253"/>
    <w:rsid w:val="00B22394"/>
    <w:rsid w:val="00B22845"/>
    <w:rsid w:val="00B23C34"/>
    <w:rsid w:val="00B24371"/>
    <w:rsid w:val="00B24EC3"/>
    <w:rsid w:val="00B254A8"/>
    <w:rsid w:val="00B2669F"/>
    <w:rsid w:val="00B26D45"/>
    <w:rsid w:val="00B26D5B"/>
    <w:rsid w:val="00B276A6"/>
    <w:rsid w:val="00B2798C"/>
    <w:rsid w:val="00B3153E"/>
    <w:rsid w:val="00B319E3"/>
    <w:rsid w:val="00B330A2"/>
    <w:rsid w:val="00B36527"/>
    <w:rsid w:val="00B37155"/>
    <w:rsid w:val="00B373A2"/>
    <w:rsid w:val="00B37557"/>
    <w:rsid w:val="00B416FE"/>
    <w:rsid w:val="00B41953"/>
    <w:rsid w:val="00B42648"/>
    <w:rsid w:val="00B42ACB"/>
    <w:rsid w:val="00B42D66"/>
    <w:rsid w:val="00B4338E"/>
    <w:rsid w:val="00B463BA"/>
    <w:rsid w:val="00B46921"/>
    <w:rsid w:val="00B46EEC"/>
    <w:rsid w:val="00B47BF7"/>
    <w:rsid w:val="00B50BB3"/>
    <w:rsid w:val="00B52C97"/>
    <w:rsid w:val="00B53BD3"/>
    <w:rsid w:val="00B54AB1"/>
    <w:rsid w:val="00B54CC5"/>
    <w:rsid w:val="00B54D19"/>
    <w:rsid w:val="00B56711"/>
    <w:rsid w:val="00B56ADE"/>
    <w:rsid w:val="00B57523"/>
    <w:rsid w:val="00B57528"/>
    <w:rsid w:val="00B600C7"/>
    <w:rsid w:val="00B61235"/>
    <w:rsid w:val="00B61774"/>
    <w:rsid w:val="00B61FFA"/>
    <w:rsid w:val="00B62A82"/>
    <w:rsid w:val="00B62BCD"/>
    <w:rsid w:val="00B642F1"/>
    <w:rsid w:val="00B65130"/>
    <w:rsid w:val="00B65EBA"/>
    <w:rsid w:val="00B66637"/>
    <w:rsid w:val="00B66A07"/>
    <w:rsid w:val="00B66CA9"/>
    <w:rsid w:val="00B6762D"/>
    <w:rsid w:val="00B67CAF"/>
    <w:rsid w:val="00B7067F"/>
    <w:rsid w:val="00B70918"/>
    <w:rsid w:val="00B71A47"/>
    <w:rsid w:val="00B74883"/>
    <w:rsid w:val="00B74B8B"/>
    <w:rsid w:val="00B74D57"/>
    <w:rsid w:val="00B759CF"/>
    <w:rsid w:val="00B75EB5"/>
    <w:rsid w:val="00B76A5A"/>
    <w:rsid w:val="00B7754B"/>
    <w:rsid w:val="00B8040F"/>
    <w:rsid w:val="00B80B17"/>
    <w:rsid w:val="00B81099"/>
    <w:rsid w:val="00B8193C"/>
    <w:rsid w:val="00B82489"/>
    <w:rsid w:val="00B84369"/>
    <w:rsid w:val="00B879D2"/>
    <w:rsid w:val="00B90798"/>
    <w:rsid w:val="00B91935"/>
    <w:rsid w:val="00B91956"/>
    <w:rsid w:val="00B922A7"/>
    <w:rsid w:val="00B938CF"/>
    <w:rsid w:val="00B95A92"/>
    <w:rsid w:val="00B96EA6"/>
    <w:rsid w:val="00B976BB"/>
    <w:rsid w:val="00BA081E"/>
    <w:rsid w:val="00BA10CE"/>
    <w:rsid w:val="00BA12B3"/>
    <w:rsid w:val="00BA2697"/>
    <w:rsid w:val="00BA2D09"/>
    <w:rsid w:val="00BA3081"/>
    <w:rsid w:val="00BA5397"/>
    <w:rsid w:val="00BA573C"/>
    <w:rsid w:val="00BA5BC1"/>
    <w:rsid w:val="00BA6693"/>
    <w:rsid w:val="00BA6C50"/>
    <w:rsid w:val="00BA752E"/>
    <w:rsid w:val="00BB0418"/>
    <w:rsid w:val="00BB1000"/>
    <w:rsid w:val="00BB1B40"/>
    <w:rsid w:val="00BB2205"/>
    <w:rsid w:val="00BB2642"/>
    <w:rsid w:val="00BB39E5"/>
    <w:rsid w:val="00BB5632"/>
    <w:rsid w:val="00BB5ABB"/>
    <w:rsid w:val="00BB5B02"/>
    <w:rsid w:val="00BB5C50"/>
    <w:rsid w:val="00BB655E"/>
    <w:rsid w:val="00BB69E6"/>
    <w:rsid w:val="00BB6FC2"/>
    <w:rsid w:val="00BB78C2"/>
    <w:rsid w:val="00BB7926"/>
    <w:rsid w:val="00BC24B1"/>
    <w:rsid w:val="00BC2710"/>
    <w:rsid w:val="00BC2ECA"/>
    <w:rsid w:val="00BC3BD0"/>
    <w:rsid w:val="00BC4D62"/>
    <w:rsid w:val="00BC4DDD"/>
    <w:rsid w:val="00BC54D9"/>
    <w:rsid w:val="00BC6F37"/>
    <w:rsid w:val="00BC7110"/>
    <w:rsid w:val="00BC773A"/>
    <w:rsid w:val="00BC7984"/>
    <w:rsid w:val="00BC7E3F"/>
    <w:rsid w:val="00BC7E65"/>
    <w:rsid w:val="00BD23F7"/>
    <w:rsid w:val="00BD2775"/>
    <w:rsid w:val="00BD2C00"/>
    <w:rsid w:val="00BD3279"/>
    <w:rsid w:val="00BD3BDB"/>
    <w:rsid w:val="00BD4A26"/>
    <w:rsid w:val="00BD4C92"/>
    <w:rsid w:val="00BD53FE"/>
    <w:rsid w:val="00BD5510"/>
    <w:rsid w:val="00BD65F7"/>
    <w:rsid w:val="00BD6F74"/>
    <w:rsid w:val="00BD7A37"/>
    <w:rsid w:val="00BE00F4"/>
    <w:rsid w:val="00BE0754"/>
    <w:rsid w:val="00BE0B21"/>
    <w:rsid w:val="00BE14E9"/>
    <w:rsid w:val="00BE2CE1"/>
    <w:rsid w:val="00BE3427"/>
    <w:rsid w:val="00BE3B89"/>
    <w:rsid w:val="00BE42A2"/>
    <w:rsid w:val="00BE4FA7"/>
    <w:rsid w:val="00BE5E7D"/>
    <w:rsid w:val="00BE5EBD"/>
    <w:rsid w:val="00BE5F92"/>
    <w:rsid w:val="00BE698D"/>
    <w:rsid w:val="00BE75F7"/>
    <w:rsid w:val="00BF00F9"/>
    <w:rsid w:val="00BF157D"/>
    <w:rsid w:val="00BF1B11"/>
    <w:rsid w:val="00BF23F4"/>
    <w:rsid w:val="00BF23F7"/>
    <w:rsid w:val="00BF3313"/>
    <w:rsid w:val="00BF3610"/>
    <w:rsid w:val="00BF37F5"/>
    <w:rsid w:val="00BF3D4E"/>
    <w:rsid w:val="00BF4705"/>
    <w:rsid w:val="00BF4A0D"/>
    <w:rsid w:val="00BF5235"/>
    <w:rsid w:val="00BF5F03"/>
    <w:rsid w:val="00BF6551"/>
    <w:rsid w:val="00C01160"/>
    <w:rsid w:val="00C01AA5"/>
    <w:rsid w:val="00C0256C"/>
    <w:rsid w:val="00C02AAC"/>
    <w:rsid w:val="00C02EF7"/>
    <w:rsid w:val="00C058C1"/>
    <w:rsid w:val="00C058E6"/>
    <w:rsid w:val="00C06017"/>
    <w:rsid w:val="00C06124"/>
    <w:rsid w:val="00C079B4"/>
    <w:rsid w:val="00C1019D"/>
    <w:rsid w:val="00C10729"/>
    <w:rsid w:val="00C10C7A"/>
    <w:rsid w:val="00C11A98"/>
    <w:rsid w:val="00C138A7"/>
    <w:rsid w:val="00C15888"/>
    <w:rsid w:val="00C1665F"/>
    <w:rsid w:val="00C17950"/>
    <w:rsid w:val="00C17D1F"/>
    <w:rsid w:val="00C2057A"/>
    <w:rsid w:val="00C20CDC"/>
    <w:rsid w:val="00C230AF"/>
    <w:rsid w:val="00C23A43"/>
    <w:rsid w:val="00C252FA"/>
    <w:rsid w:val="00C267F2"/>
    <w:rsid w:val="00C26856"/>
    <w:rsid w:val="00C26A1B"/>
    <w:rsid w:val="00C2728B"/>
    <w:rsid w:val="00C31157"/>
    <w:rsid w:val="00C3214A"/>
    <w:rsid w:val="00C337F3"/>
    <w:rsid w:val="00C339B2"/>
    <w:rsid w:val="00C35037"/>
    <w:rsid w:val="00C3594C"/>
    <w:rsid w:val="00C372F4"/>
    <w:rsid w:val="00C37D17"/>
    <w:rsid w:val="00C40743"/>
    <w:rsid w:val="00C40792"/>
    <w:rsid w:val="00C41E38"/>
    <w:rsid w:val="00C43BA9"/>
    <w:rsid w:val="00C44A2E"/>
    <w:rsid w:val="00C44AEA"/>
    <w:rsid w:val="00C4672C"/>
    <w:rsid w:val="00C47EE5"/>
    <w:rsid w:val="00C50868"/>
    <w:rsid w:val="00C5124D"/>
    <w:rsid w:val="00C514A0"/>
    <w:rsid w:val="00C518CC"/>
    <w:rsid w:val="00C5256F"/>
    <w:rsid w:val="00C52BC2"/>
    <w:rsid w:val="00C537F2"/>
    <w:rsid w:val="00C53D45"/>
    <w:rsid w:val="00C5407A"/>
    <w:rsid w:val="00C5584F"/>
    <w:rsid w:val="00C6020A"/>
    <w:rsid w:val="00C60C86"/>
    <w:rsid w:val="00C61156"/>
    <w:rsid w:val="00C613AE"/>
    <w:rsid w:val="00C616B1"/>
    <w:rsid w:val="00C616C0"/>
    <w:rsid w:val="00C6218B"/>
    <w:rsid w:val="00C62373"/>
    <w:rsid w:val="00C62441"/>
    <w:rsid w:val="00C63142"/>
    <w:rsid w:val="00C63699"/>
    <w:rsid w:val="00C65EA8"/>
    <w:rsid w:val="00C67F2D"/>
    <w:rsid w:val="00C71A8D"/>
    <w:rsid w:val="00C72346"/>
    <w:rsid w:val="00C73BC7"/>
    <w:rsid w:val="00C740FE"/>
    <w:rsid w:val="00C7442F"/>
    <w:rsid w:val="00C75CAF"/>
    <w:rsid w:val="00C76C77"/>
    <w:rsid w:val="00C8015F"/>
    <w:rsid w:val="00C817DE"/>
    <w:rsid w:val="00C837B1"/>
    <w:rsid w:val="00C83900"/>
    <w:rsid w:val="00C858D6"/>
    <w:rsid w:val="00C86745"/>
    <w:rsid w:val="00C90323"/>
    <w:rsid w:val="00C91F2F"/>
    <w:rsid w:val="00C925DE"/>
    <w:rsid w:val="00C92AE4"/>
    <w:rsid w:val="00C92F5E"/>
    <w:rsid w:val="00C936DF"/>
    <w:rsid w:val="00C9574A"/>
    <w:rsid w:val="00C95A8E"/>
    <w:rsid w:val="00C965AB"/>
    <w:rsid w:val="00C96E5F"/>
    <w:rsid w:val="00C9766A"/>
    <w:rsid w:val="00C97839"/>
    <w:rsid w:val="00CA0051"/>
    <w:rsid w:val="00CA01DE"/>
    <w:rsid w:val="00CA1D49"/>
    <w:rsid w:val="00CA4DA5"/>
    <w:rsid w:val="00CA5A80"/>
    <w:rsid w:val="00CA62EA"/>
    <w:rsid w:val="00CA6B01"/>
    <w:rsid w:val="00CA6F9B"/>
    <w:rsid w:val="00CA72D2"/>
    <w:rsid w:val="00CA73A4"/>
    <w:rsid w:val="00CA7B28"/>
    <w:rsid w:val="00CA7C53"/>
    <w:rsid w:val="00CB07B3"/>
    <w:rsid w:val="00CB0AE4"/>
    <w:rsid w:val="00CB178D"/>
    <w:rsid w:val="00CB25D9"/>
    <w:rsid w:val="00CB2ED7"/>
    <w:rsid w:val="00CB687B"/>
    <w:rsid w:val="00CB7272"/>
    <w:rsid w:val="00CB72B5"/>
    <w:rsid w:val="00CC07A2"/>
    <w:rsid w:val="00CC1B9B"/>
    <w:rsid w:val="00CC23A8"/>
    <w:rsid w:val="00CC2CD3"/>
    <w:rsid w:val="00CC30B5"/>
    <w:rsid w:val="00CC3418"/>
    <w:rsid w:val="00CC4110"/>
    <w:rsid w:val="00CC4DAE"/>
    <w:rsid w:val="00CC6FB4"/>
    <w:rsid w:val="00CC7204"/>
    <w:rsid w:val="00CC792B"/>
    <w:rsid w:val="00CC7D41"/>
    <w:rsid w:val="00CD0E30"/>
    <w:rsid w:val="00CD16D5"/>
    <w:rsid w:val="00CD3358"/>
    <w:rsid w:val="00CD448B"/>
    <w:rsid w:val="00CD6188"/>
    <w:rsid w:val="00CD6814"/>
    <w:rsid w:val="00CD68A6"/>
    <w:rsid w:val="00CD68ED"/>
    <w:rsid w:val="00CD6C25"/>
    <w:rsid w:val="00CD78F1"/>
    <w:rsid w:val="00CE08D4"/>
    <w:rsid w:val="00CE253E"/>
    <w:rsid w:val="00CE400F"/>
    <w:rsid w:val="00CE407A"/>
    <w:rsid w:val="00CE5FF6"/>
    <w:rsid w:val="00CE7078"/>
    <w:rsid w:val="00CF04FA"/>
    <w:rsid w:val="00CF13F7"/>
    <w:rsid w:val="00CF188E"/>
    <w:rsid w:val="00CF1B29"/>
    <w:rsid w:val="00CF1C66"/>
    <w:rsid w:val="00CF295C"/>
    <w:rsid w:val="00CF2EF9"/>
    <w:rsid w:val="00CF3278"/>
    <w:rsid w:val="00CF3FF3"/>
    <w:rsid w:val="00D0030D"/>
    <w:rsid w:val="00D01D20"/>
    <w:rsid w:val="00D031C4"/>
    <w:rsid w:val="00D0396D"/>
    <w:rsid w:val="00D04C1D"/>
    <w:rsid w:val="00D06333"/>
    <w:rsid w:val="00D101E2"/>
    <w:rsid w:val="00D10488"/>
    <w:rsid w:val="00D10B28"/>
    <w:rsid w:val="00D11807"/>
    <w:rsid w:val="00D12326"/>
    <w:rsid w:val="00D14E49"/>
    <w:rsid w:val="00D1572C"/>
    <w:rsid w:val="00D1792E"/>
    <w:rsid w:val="00D2009F"/>
    <w:rsid w:val="00D21F54"/>
    <w:rsid w:val="00D236F3"/>
    <w:rsid w:val="00D2628F"/>
    <w:rsid w:val="00D26AA6"/>
    <w:rsid w:val="00D27FF1"/>
    <w:rsid w:val="00D30D48"/>
    <w:rsid w:val="00D313E2"/>
    <w:rsid w:val="00D323A2"/>
    <w:rsid w:val="00D337FE"/>
    <w:rsid w:val="00D3396D"/>
    <w:rsid w:val="00D33AD2"/>
    <w:rsid w:val="00D33EBB"/>
    <w:rsid w:val="00D35081"/>
    <w:rsid w:val="00D356AE"/>
    <w:rsid w:val="00D37648"/>
    <w:rsid w:val="00D40A03"/>
    <w:rsid w:val="00D40E26"/>
    <w:rsid w:val="00D42AB4"/>
    <w:rsid w:val="00D43B7B"/>
    <w:rsid w:val="00D4451C"/>
    <w:rsid w:val="00D44FDB"/>
    <w:rsid w:val="00D4665F"/>
    <w:rsid w:val="00D46CBD"/>
    <w:rsid w:val="00D47139"/>
    <w:rsid w:val="00D47E26"/>
    <w:rsid w:val="00D50004"/>
    <w:rsid w:val="00D504B1"/>
    <w:rsid w:val="00D5090C"/>
    <w:rsid w:val="00D50955"/>
    <w:rsid w:val="00D5096F"/>
    <w:rsid w:val="00D527C6"/>
    <w:rsid w:val="00D53887"/>
    <w:rsid w:val="00D53F1C"/>
    <w:rsid w:val="00D544FB"/>
    <w:rsid w:val="00D54C9C"/>
    <w:rsid w:val="00D55085"/>
    <w:rsid w:val="00D55AE1"/>
    <w:rsid w:val="00D56328"/>
    <w:rsid w:val="00D572C7"/>
    <w:rsid w:val="00D57874"/>
    <w:rsid w:val="00D57BFB"/>
    <w:rsid w:val="00D60F67"/>
    <w:rsid w:val="00D6132E"/>
    <w:rsid w:val="00D61808"/>
    <w:rsid w:val="00D63A74"/>
    <w:rsid w:val="00D658C0"/>
    <w:rsid w:val="00D65C79"/>
    <w:rsid w:val="00D661A0"/>
    <w:rsid w:val="00D66647"/>
    <w:rsid w:val="00D66B6A"/>
    <w:rsid w:val="00D67075"/>
    <w:rsid w:val="00D67B15"/>
    <w:rsid w:val="00D67EB7"/>
    <w:rsid w:val="00D71E8B"/>
    <w:rsid w:val="00D7205E"/>
    <w:rsid w:val="00D73780"/>
    <w:rsid w:val="00D73A2D"/>
    <w:rsid w:val="00D756F4"/>
    <w:rsid w:val="00D75717"/>
    <w:rsid w:val="00D76034"/>
    <w:rsid w:val="00D77904"/>
    <w:rsid w:val="00D77F35"/>
    <w:rsid w:val="00D813E7"/>
    <w:rsid w:val="00D820B1"/>
    <w:rsid w:val="00D824FC"/>
    <w:rsid w:val="00D829EA"/>
    <w:rsid w:val="00D82C61"/>
    <w:rsid w:val="00D82F2C"/>
    <w:rsid w:val="00D83624"/>
    <w:rsid w:val="00D839D7"/>
    <w:rsid w:val="00D8413A"/>
    <w:rsid w:val="00D84BAD"/>
    <w:rsid w:val="00D86005"/>
    <w:rsid w:val="00D86B33"/>
    <w:rsid w:val="00D86D7A"/>
    <w:rsid w:val="00D87CAC"/>
    <w:rsid w:val="00D905F9"/>
    <w:rsid w:val="00D9104B"/>
    <w:rsid w:val="00D9260D"/>
    <w:rsid w:val="00D938AD"/>
    <w:rsid w:val="00D94153"/>
    <w:rsid w:val="00D96A42"/>
    <w:rsid w:val="00D96C90"/>
    <w:rsid w:val="00D97279"/>
    <w:rsid w:val="00D97AA3"/>
    <w:rsid w:val="00DA01B6"/>
    <w:rsid w:val="00DA0AD5"/>
    <w:rsid w:val="00DA0E4C"/>
    <w:rsid w:val="00DA0FD5"/>
    <w:rsid w:val="00DA192D"/>
    <w:rsid w:val="00DA19C3"/>
    <w:rsid w:val="00DA1A3C"/>
    <w:rsid w:val="00DA3263"/>
    <w:rsid w:val="00DA337E"/>
    <w:rsid w:val="00DA395C"/>
    <w:rsid w:val="00DA419D"/>
    <w:rsid w:val="00DA4D72"/>
    <w:rsid w:val="00DA682D"/>
    <w:rsid w:val="00DA75E4"/>
    <w:rsid w:val="00DB143B"/>
    <w:rsid w:val="00DB1EC7"/>
    <w:rsid w:val="00DB2CF6"/>
    <w:rsid w:val="00DB36A0"/>
    <w:rsid w:val="00DB426C"/>
    <w:rsid w:val="00DB546E"/>
    <w:rsid w:val="00DB6FA9"/>
    <w:rsid w:val="00DB7E51"/>
    <w:rsid w:val="00DB7E6A"/>
    <w:rsid w:val="00DB7E77"/>
    <w:rsid w:val="00DC043B"/>
    <w:rsid w:val="00DC073F"/>
    <w:rsid w:val="00DC1DC9"/>
    <w:rsid w:val="00DC1EC9"/>
    <w:rsid w:val="00DC25EC"/>
    <w:rsid w:val="00DC3F98"/>
    <w:rsid w:val="00DC417C"/>
    <w:rsid w:val="00DC52F3"/>
    <w:rsid w:val="00DC5D30"/>
    <w:rsid w:val="00DC6A97"/>
    <w:rsid w:val="00DC7CD7"/>
    <w:rsid w:val="00DC7D4C"/>
    <w:rsid w:val="00DC7DF4"/>
    <w:rsid w:val="00DD0600"/>
    <w:rsid w:val="00DD1780"/>
    <w:rsid w:val="00DD1A2B"/>
    <w:rsid w:val="00DD1B18"/>
    <w:rsid w:val="00DD2131"/>
    <w:rsid w:val="00DD23A6"/>
    <w:rsid w:val="00DD2CFE"/>
    <w:rsid w:val="00DD4C61"/>
    <w:rsid w:val="00DD4D72"/>
    <w:rsid w:val="00DD4EBF"/>
    <w:rsid w:val="00DD66F0"/>
    <w:rsid w:val="00DD69C3"/>
    <w:rsid w:val="00DD786E"/>
    <w:rsid w:val="00DD7B9F"/>
    <w:rsid w:val="00DE24E2"/>
    <w:rsid w:val="00DE37DC"/>
    <w:rsid w:val="00DE4B85"/>
    <w:rsid w:val="00DE4F1E"/>
    <w:rsid w:val="00DE4FEE"/>
    <w:rsid w:val="00DE5728"/>
    <w:rsid w:val="00DE5C06"/>
    <w:rsid w:val="00DE7EC7"/>
    <w:rsid w:val="00DF1955"/>
    <w:rsid w:val="00DF1CC8"/>
    <w:rsid w:val="00DF2067"/>
    <w:rsid w:val="00DF2FEF"/>
    <w:rsid w:val="00DF363F"/>
    <w:rsid w:val="00DF53CF"/>
    <w:rsid w:val="00DF5C83"/>
    <w:rsid w:val="00DF73DF"/>
    <w:rsid w:val="00DF77D9"/>
    <w:rsid w:val="00DF7A75"/>
    <w:rsid w:val="00E006A8"/>
    <w:rsid w:val="00E01B88"/>
    <w:rsid w:val="00E01C10"/>
    <w:rsid w:val="00E02AA0"/>
    <w:rsid w:val="00E06A9B"/>
    <w:rsid w:val="00E073B6"/>
    <w:rsid w:val="00E07C84"/>
    <w:rsid w:val="00E11705"/>
    <w:rsid w:val="00E11A3F"/>
    <w:rsid w:val="00E12464"/>
    <w:rsid w:val="00E1292E"/>
    <w:rsid w:val="00E170BD"/>
    <w:rsid w:val="00E20C22"/>
    <w:rsid w:val="00E21148"/>
    <w:rsid w:val="00E211EC"/>
    <w:rsid w:val="00E223E6"/>
    <w:rsid w:val="00E23710"/>
    <w:rsid w:val="00E243DE"/>
    <w:rsid w:val="00E24C98"/>
    <w:rsid w:val="00E2609B"/>
    <w:rsid w:val="00E26B8F"/>
    <w:rsid w:val="00E27780"/>
    <w:rsid w:val="00E31CAA"/>
    <w:rsid w:val="00E31EA6"/>
    <w:rsid w:val="00E33456"/>
    <w:rsid w:val="00E3383A"/>
    <w:rsid w:val="00E372D4"/>
    <w:rsid w:val="00E375F5"/>
    <w:rsid w:val="00E37A56"/>
    <w:rsid w:val="00E40E8C"/>
    <w:rsid w:val="00E41211"/>
    <w:rsid w:val="00E41457"/>
    <w:rsid w:val="00E41768"/>
    <w:rsid w:val="00E42910"/>
    <w:rsid w:val="00E42A6A"/>
    <w:rsid w:val="00E4382B"/>
    <w:rsid w:val="00E44E48"/>
    <w:rsid w:val="00E4568B"/>
    <w:rsid w:val="00E45F65"/>
    <w:rsid w:val="00E46FE1"/>
    <w:rsid w:val="00E5147E"/>
    <w:rsid w:val="00E52485"/>
    <w:rsid w:val="00E530A8"/>
    <w:rsid w:val="00E53A6B"/>
    <w:rsid w:val="00E53C9E"/>
    <w:rsid w:val="00E54A7F"/>
    <w:rsid w:val="00E554A8"/>
    <w:rsid w:val="00E56D46"/>
    <w:rsid w:val="00E56E47"/>
    <w:rsid w:val="00E56FCF"/>
    <w:rsid w:val="00E5780B"/>
    <w:rsid w:val="00E6003A"/>
    <w:rsid w:val="00E6123E"/>
    <w:rsid w:val="00E6218F"/>
    <w:rsid w:val="00E62404"/>
    <w:rsid w:val="00E624EE"/>
    <w:rsid w:val="00E625F6"/>
    <w:rsid w:val="00E62D5F"/>
    <w:rsid w:val="00E63AAC"/>
    <w:rsid w:val="00E63D36"/>
    <w:rsid w:val="00E66F74"/>
    <w:rsid w:val="00E67BEE"/>
    <w:rsid w:val="00E67D03"/>
    <w:rsid w:val="00E67E37"/>
    <w:rsid w:val="00E70C2C"/>
    <w:rsid w:val="00E70C2F"/>
    <w:rsid w:val="00E71FDF"/>
    <w:rsid w:val="00E72A21"/>
    <w:rsid w:val="00E74065"/>
    <w:rsid w:val="00E74D6F"/>
    <w:rsid w:val="00E754E3"/>
    <w:rsid w:val="00E75A6B"/>
    <w:rsid w:val="00E8053E"/>
    <w:rsid w:val="00E80BA5"/>
    <w:rsid w:val="00E82831"/>
    <w:rsid w:val="00E8295F"/>
    <w:rsid w:val="00E8371A"/>
    <w:rsid w:val="00E870D0"/>
    <w:rsid w:val="00E8753D"/>
    <w:rsid w:val="00E91CEE"/>
    <w:rsid w:val="00E92A35"/>
    <w:rsid w:val="00E92BE4"/>
    <w:rsid w:val="00E93171"/>
    <w:rsid w:val="00E93622"/>
    <w:rsid w:val="00E9392D"/>
    <w:rsid w:val="00E95997"/>
    <w:rsid w:val="00E95E2A"/>
    <w:rsid w:val="00E97216"/>
    <w:rsid w:val="00EA07E8"/>
    <w:rsid w:val="00EA0F5C"/>
    <w:rsid w:val="00EA1E19"/>
    <w:rsid w:val="00EA3007"/>
    <w:rsid w:val="00EA3E5B"/>
    <w:rsid w:val="00EA4B39"/>
    <w:rsid w:val="00EA4BB0"/>
    <w:rsid w:val="00EA5425"/>
    <w:rsid w:val="00EA55A7"/>
    <w:rsid w:val="00EA616C"/>
    <w:rsid w:val="00EA65A7"/>
    <w:rsid w:val="00EA6B26"/>
    <w:rsid w:val="00EA7B59"/>
    <w:rsid w:val="00EB02CC"/>
    <w:rsid w:val="00EB032E"/>
    <w:rsid w:val="00EB0805"/>
    <w:rsid w:val="00EB0C77"/>
    <w:rsid w:val="00EB0EEC"/>
    <w:rsid w:val="00EB1286"/>
    <w:rsid w:val="00EB26D3"/>
    <w:rsid w:val="00EB27EC"/>
    <w:rsid w:val="00EB331F"/>
    <w:rsid w:val="00EB3D63"/>
    <w:rsid w:val="00EB3E55"/>
    <w:rsid w:val="00EB4888"/>
    <w:rsid w:val="00EB48C4"/>
    <w:rsid w:val="00EB6D87"/>
    <w:rsid w:val="00EB7A34"/>
    <w:rsid w:val="00EB7C83"/>
    <w:rsid w:val="00EB7DED"/>
    <w:rsid w:val="00EC0D0A"/>
    <w:rsid w:val="00EC474E"/>
    <w:rsid w:val="00EC4F78"/>
    <w:rsid w:val="00EC53D3"/>
    <w:rsid w:val="00EC6877"/>
    <w:rsid w:val="00EC6CBF"/>
    <w:rsid w:val="00ED142F"/>
    <w:rsid w:val="00ED225E"/>
    <w:rsid w:val="00ED2D1B"/>
    <w:rsid w:val="00ED3D7A"/>
    <w:rsid w:val="00ED4157"/>
    <w:rsid w:val="00ED4CCD"/>
    <w:rsid w:val="00ED4CD5"/>
    <w:rsid w:val="00ED6C25"/>
    <w:rsid w:val="00EE02FA"/>
    <w:rsid w:val="00EE0737"/>
    <w:rsid w:val="00EE0754"/>
    <w:rsid w:val="00EE0E06"/>
    <w:rsid w:val="00EE15AE"/>
    <w:rsid w:val="00EE262D"/>
    <w:rsid w:val="00EE3068"/>
    <w:rsid w:val="00EE3DEB"/>
    <w:rsid w:val="00EE3ECD"/>
    <w:rsid w:val="00EE45B4"/>
    <w:rsid w:val="00EE57AE"/>
    <w:rsid w:val="00EE5805"/>
    <w:rsid w:val="00EE5875"/>
    <w:rsid w:val="00EE5CF3"/>
    <w:rsid w:val="00EE70C1"/>
    <w:rsid w:val="00EE7F4D"/>
    <w:rsid w:val="00EF0715"/>
    <w:rsid w:val="00EF2B23"/>
    <w:rsid w:val="00EF3635"/>
    <w:rsid w:val="00EF5E9E"/>
    <w:rsid w:val="00EF6902"/>
    <w:rsid w:val="00EF78F0"/>
    <w:rsid w:val="00F017ED"/>
    <w:rsid w:val="00F023A3"/>
    <w:rsid w:val="00F02F60"/>
    <w:rsid w:val="00F03791"/>
    <w:rsid w:val="00F04B83"/>
    <w:rsid w:val="00F05011"/>
    <w:rsid w:val="00F06B7D"/>
    <w:rsid w:val="00F06CA3"/>
    <w:rsid w:val="00F10146"/>
    <w:rsid w:val="00F11808"/>
    <w:rsid w:val="00F13208"/>
    <w:rsid w:val="00F13A49"/>
    <w:rsid w:val="00F142A7"/>
    <w:rsid w:val="00F1474A"/>
    <w:rsid w:val="00F14ECE"/>
    <w:rsid w:val="00F14F3A"/>
    <w:rsid w:val="00F16F9E"/>
    <w:rsid w:val="00F17123"/>
    <w:rsid w:val="00F17387"/>
    <w:rsid w:val="00F17DBC"/>
    <w:rsid w:val="00F20BBA"/>
    <w:rsid w:val="00F210EE"/>
    <w:rsid w:val="00F21C95"/>
    <w:rsid w:val="00F22286"/>
    <w:rsid w:val="00F237EE"/>
    <w:rsid w:val="00F23940"/>
    <w:rsid w:val="00F2473E"/>
    <w:rsid w:val="00F25D01"/>
    <w:rsid w:val="00F26C53"/>
    <w:rsid w:val="00F2746A"/>
    <w:rsid w:val="00F27B9C"/>
    <w:rsid w:val="00F30505"/>
    <w:rsid w:val="00F30662"/>
    <w:rsid w:val="00F3079F"/>
    <w:rsid w:val="00F307E5"/>
    <w:rsid w:val="00F3116F"/>
    <w:rsid w:val="00F32545"/>
    <w:rsid w:val="00F32CDA"/>
    <w:rsid w:val="00F344B4"/>
    <w:rsid w:val="00F35441"/>
    <w:rsid w:val="00F36EBA"/>
    <w:rsid w:val="00F36FD3"/>
    <w:rsid w:val="00F4154E"/>
    <w:rsid w:val="00F41A59"/>
    <w:rsid w:val="00F4281C"/>
    <w:rsid w:val="00F43869"/>
    <w:rsid w:val="00F43DB0"/>
    <w:rsid w:val="00F4787A"/>
    <w:rsid w:val="00F47BB3"/>
    <w:rsid w:val="00F52108"/>
    <w:rsid w:val="00F53090"/>
    <w:rsid w:val="00F55BBD"/>
    <w:rsid w:val="00F56CF2"/>
    <w:rsid w:val="00F5720D"/>
    <w:rsid w:val="00F618A8"/>
    <w:rsid w:val="00F62CE6"/>
    <w:rsid w:val="00F63B60"/>
    <w:rsid w:val="00F643C1"/>
    <w:rsid w:val="00F65542"/>
    <w:rsid w:val="00F66884"/>
    <w:rsid w:val="00F71E2D"/>
    <w:rsid w:val="00F725C3"/>
    <w:rsid w:val="00F732C0"/>
    <w:rsid w:val="00F73317"/>
    <w:rsid w:val="00F74B3C"/>
    <w:rsid w:val="00F761CA"/>
    <w:rsid w:val="00F76746"/>
    <w:rsid w:val="00F76AD7"/>
    <w:rsid w:val="00F77341"/>
    <w:rsid w:val="00F81700"/>
    <w:rsid w:val="00F824CE"/>
    <w:rsid w:val="00F84476"/>
    <w:rsid w:val="00F84EDB"/>
    <w:rsid w:val="00F85829"/>
    <w:rsid w:val="00F860B9"/>
    <w:rsid w:val="00F8775B"/>
    <w:rsid w:val="00F8783A"/>
    <w:rsid w:val="00F90AAD"/>
    <w:rsid w:val="00F90E73"/>
    <w:rsid w:val="00F922A5"/>
    <w:rsid w:val="00F932DD"/>
    <w:rsid w:val="00F945C8"/>
    <w:rsid w:val="00F9611D"/>
    <w:rsid w:val="00F96335"/>
    <w:rsid w:val="00F96DE9"/>
    <w:rsid w:val="00F97E05"/>
    <w:rsid w:val="00F97EB0"/>
    <w:rsid w:val="00F97F03"/>
    <w:rsid w:val="00FA0312"/>
    <w:rsid w:val="00FA415D"/>
    <w:rsid w:val="00FA45F2"/>
    <w:rsid w:val="00FA58A5"/>
    <w:rsid w:val="00FA7701"/>
    <w:rsid w:val="00FB0980"/>
    <w:rsid w:val="00FB10C5"/>
    <w:rsid w:val="00FB32AF"/>
    <w:rsid w:val="00FB45BB"/>
    <w:rsid w:val="00FB5D88"/>
    <w:rsid w:val="00FB62AD"/>
    <w:rsid w:val="00FB7498"/>
    <w:rsid w:val="00FC03A0"/>
    <w:rsid w:val="00FC0B33"/>
    <w:rsid w:val="00FC0EFD"/>
    <w:rsid w:val="00FC1338"/>
    <w:rsid w:val="00FC1739"/>
    <w:rsid w:val="00FC306C"/>
    <w:rsid w:val="00FC4B18"/>
    <w:rsid w:val="00FC5799"/>
    <w:rsid w:val="00FC5AC0"/>
    <w:rsid w:val="00FC6119"/>
    <w:rsid w:val="00FC6A7D"/>
    <w:rsid w:val="00FC6B7D"/>
    <w:rsid w:val="00FC7452"/>
    <w:rsid w:val="00FD0619"/>
    <w:rsid w:val="00FD1C31"/>
    <w:rsid w:val="00FD21CF"/>
    <w:rsid w:val="00FD2D2D"/>
    <w:rsid w:val="00FD344A"/>
    <w:rsid w:val="00FD37D4"/>
    <w:rsid w:val="00FD3A7E"/>
    <w:rsid w:val="00FD49E6"/>
    <w:rsid w:val="00FD5518"/>
    <w:rsid w:val="00FD69D9"/>
    <w:rsid w:val="00FD6E26"/>
    <w:rsid w:val="00FD79B1"/>
    <w:rsid w:val="00FE020E"/>
    <w:rsid w:val="00FE035E"/>
    <w:rsid w:val="00FE075B"/>
    <w:rsid w:val="00FE13C7"/>
    <w:rsid w:val="00FE2B5A"/>
    <w:rsid w:val="00FE2FE3"/>
    <w:rsid w:val="00FE43A3"/>
    <w:rsid w:val="00FE524F"/>
    <w:rsid w:val="00FE58C4"/>
    <w:rsid w:val="00FE64DA"/>
    <w:rsid w:val="00FF0820"/>
    <w:rsid w:val="00FF14BF"/>
    <w:rsid w:val="00FF1915"/>
    <w:rsid w:val="00FF1ADC"/>
    <w:rsid w:val="00FF1EC4"/>
    <w:rsid w:val="00FF21D6"/>
    <w:rsid w:val="00FF29F8"/>
    <w:rsid w:val="00FF2CFE"/>
    <w:rsid w:val="00FF36E8"/>
    <w:rsid w:val="00FF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A0668"/>
  <w15:docId w15:val="{2B94A804-1CA8-46C8-AD36-ECD169900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2"/>
    </w:rPr>
  </w:style>
  <w:style w:type="paragraph" w:styleId="Cmsor2">
    <w:name w:val="heading 2"/>
    <w:basedOn w:val="Norml"/>
    <w:next w:val="Norml"/>
    <w:qFormat/>
    <w:pPr>
      <w:keepNext/>
      <w:jc w:val="both"/>
      <w:outlineLvl w:val="1"/>
    </w:pPr>
    <w:rPr>
      <w:b/>
      <w:sz w:val="22"/>
    </w:rPr>
  </w:style>
  <w:style w:type="paragraph" w:styleId="Cmsor3">
    <w:name w:val="heading 3"/>
    <w:basedOn w:val="Norml"/>
    <w:next w:val="Norml"/>
    <w:qFormat/>
    <w:pPr>
      <w:keepNext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b/>
      <w:sz w:val="22"/>
    </w:rPr>
  </w:style>
  <w:style w:type="paragraph" w:styleId="Cmsor5">
    <w:name w:val="heading 5"/>
    <w:basedOn w:val="Norml"/>
    <w:next w:val="Norml"/>
    <w:qFormat/>
    <w:rsid w:val="007166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716694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716694"/>
    <w:pPr>
      <w:spacing w:before="240" w:after="60"/>
      <w:outlineLvl w:val="6"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link w:val="SzvegtrzsChar"/>
    <w:pPr>
      <w:jc w:val="both"/>
    </w:pPr>
    <w:rPr>
      <w:sz w:val="22"/>
      <w:lang w:val="x-none" w:eastAsia="x-none"/>
    </w:rPr>
  </w:style>
  <w:style w:type="paragraph" w:styleId="Szvegtrzs2">
    <w:name w:val="Body Text 2"/>
    <w:basedOn w:val="Norml"/>
    <w:link w:val="Szvegtrzs2Char"/>
    <w:pPr>
      <w:jc w:val="both"/>
    </w:pPr>
    <w:rPr>
      <w:b/>
      <w:sz w:val="22"/>
      <w:lang w:val="x-none" w:eastAsia="x-none"/>
    </w:rPr>
  </w:style>
  <w:style w:type="paragraph" w:styleId="Szvegtrzs3">
    <w:name w:val="Body Text 3"/>
    <w:basedOn w:val="Norml"/>
    <w:rPr>
      <w:sz w:val="22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paragraph" w:styleId="Szvegtrzsbehzssal">
    <w:name w:val="Body Text Indent"/>
    <w:basedOn w:val="Norml"/>
    <w:rsid w:val="000475A3"/>
    <w:pPr>
      <w:spacing w:after="120"/>
      <w:ind w:left="283"/>
    </w:pPr>
  </w:style>
  <w:style w:type="paragraph" w:styleId="Buborkszveg">
    <w:name w:val="Balloon Text"/>
    <w:basedOn w:val="Norml"/>
    <w:semiHidden/>
    <w:rsid w:val="009210AB"/>
    <w:rPr>
      <w:rFonts w:ascii="Tahoma" w:hAnsi="Tahoma" w:cs="Tahoma"/>
      <w:sz w:val="16"/>
      <w:szCs w:val="16"/>
    </w:rPr>
  </w:style>
  <w:style w:type="paragraph" w:styleId="Cm">
    <w:name w:val="Title"/>
    <w:basedOn w:val="Norml"/>
    <w:link w:val="CmChar"/>
    <w:qFormat/>
    <w:rsid w:val="009E4825"/>
    <w:pPr>
      <w:widowControl w:val="0"/>
      <w:jc w:val="center"/>
    </w:pPr>
    <w:rPr>
      <w:b/>
      <w:snapToGrid w:val="0"/>
      <w:sz w:val="22"/>
      <w:lang w:val="x-none" w:eastAsia="x-none"/>
    </w:rPr>
  </w:style>
  <w:style w:type="paragraph" w:styleId="Alcm">
    <w:name w:val="Subtitle"/>
    <w:basedOn w:val="Norml"/>
    <w:qFormat/>
    <w:rsid w:val="00EC6CB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Rcsostblzat">
    <w:name w:val="Table Grid"/>
    <w:basedOn w:val="Normltblzat"/>
    <w:rsid w:val="00A421DC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rsid w:val="00E40E8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B15532"/>
    <w:pPr>
      <w:ind w:left="720"/>
      <w:contextualSpacing/>
    </w:pPr>
    <w:rPr>
      <w:sz w:val="24"/>
      <w:szCs w:val="24"/>
    </w:rPr>
  </w:style>
  <w:style w:type="paragraph" w:customStyle="1" w:styleId="Char">
    <w:name w:val="Char"/>
    <w:basedOn w:val="Norml"/>
    <w:rsid w:val="00EA3E5B"/>
    <w:pPr>
      <w:spacing w:after="160" w:line="240" w:lineRule="exact"/>
    </w:pPr>
    <w:rPr>
      <w:rFonts w:ascii="Verdana" w:hAnsi="Verdana"/>
      <w:lang w:val="en-US" w:eastAsia="en-US"/>
    </w:rPr>
  </w:style>
  <w:style w:type="paragraph" w:styleId="Nincstrkz">
    <w:name w:val="No Spacing"/>
    <w:uiPriority w:val="99"/>
    <w:qFormat/>
    <w:rsid w:val="00DD1780"/>
    <w:rPr>
      <w:sz w:val="24"/>
      <w:szCs w:val="24"/>
    </w:rPr>
  </w:style>
  <w:style w:type="character" w:customStyle="1" w:styleId="SzvegtrzsChar">
    <w:name w:val="Szövegtörzs Char"/>
    <w:link w:val="Szvegtrzs"/>
    <w:rsid w:val="00541395"/>
    <w:rPr>
      <w:sz w:val="22"/>
    </w:rPr>
  </w:style>
  <w:style w:type="character" w:customStyle="1" w:styleId="Szvegtrzs2Char">
    <w:name w:val="Szövegtörzs 2 Char"/>
    <w:link w:val="Szvegtrzs2"/>
    <w:rsid w:val="00541395"/>
    <w:rPr>
      <w:b/>
      <w:sz w:val="22"/>
    </w:rPr>
  </w:style>
  <w:style w:type="character" w:customStyle="1" w:styleId="CmChar">
    <w:name w:val="Cím Char"/>
    <w:link w:val="Cm"/>
    <w:rsid w:val="001865F6"/>
    <w:rPr>
      <w:b/>
      <w:snapToGrid w:val="0"/>
      <w:sz w:val="22"/>
    </w:rPr>
  </w:style>
  <w:style w:type="paragraph" w:styleId="NormlWeb">
    <w:name w:val="Normal (Web)"/>
    <w:basedOn w:val="Norml"/>
    <w:uiPriority w:val="99"/>
    <w:unhideWhenUsed/>
    <w:rsid w:val="0096510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C1DC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DDA64-074C-4FE9-B43E-298C5D5DA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</Pages>
  <Words>5361</Words>
  <Characters>36995</Characters>
  <Application>Microsoft Office Word</Application>
  <DocSecurity>0</DocSecurity>
  <Lines>308</Lines>
  <Paragraphs>84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 O L G Á R   V Á R O S</vt:lpstr>
    </vt:vector>
  </TitlesOfParts>
  <Company>Polgári Önkormányzat</Company>
  <LinksUpToDate>false</LinksUpToDate>
  <CharactersWithSpaces>42272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O L G Á R   V Á R O S</dc:title>
  <dc:subject/>
  <dc:creator>HÁGEN JÓZSEF</dc:creator>
  <cp:keywords/>
  <dc:description/>
  <cp:lastModifiedBy>Szervezés User1</cp:lastModifiedBy>
  <cp:revision>30</cp:revision>
  <cp:lastPrinted>2021-05-20T13:39:00Z</cp:lastPrinted>
  <dcterms:created xsi:type="dcterms:W3CDTF">2021-05-18T09:53:00Z</dcterms:created>
  <dcterms:modified xsi:type="dcterms:W3CDTF">2021-05-31T09:47:00Z</dcterms:modified>
</cp:coreProperties>
</file>